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8B7" w:rsidRPr="00330B7A" w:rsidRDefault="007F3C7F" w:rsidP="00E9073B">
      <w:pPr>
        <w:spacing w:after="0" w:line="240" w:lineRule="auto"/>
        <w:ind w:hanging="567"/>
        <w:rPr>
          <w:rFonts w:ascii="Arial" w:eastAsia="Times New Roman" w:hAnsi="Arial" w:cs="Arial"/>
          <w:color w:val="005EB8"/>
          <w:sz w:val="32"/>
          <w:lang w:eastAsia="en-GB"/>
        </w:rPr>
      </w:pPr>
      <w:r>
        <w:rPr>
          <w:rFonts w:ascii="Arial" w:eastAsia="Times New Roman" w:hAnsi="Arial" w:cs="Arial"/>
          <w:color w:val="005EB8"/>
          <w:sz w:val="32"/>
          <w:lang w:eastAsia="en-GB"/>
        </w:rPr>
        <w:t>People Committee 27 March 2023</w:t>
      </w:r>
      <w:bookmarkStart w:id="0" w:name="_GoBack"/>
      <w:bookmarkEnd w:id="0"/>
    </w:p>
    <w:p w:rsidR="00FE0292" w:rsidRPr="00FE0292" w:rsidRDefault="00FE0292" w:rsidP="00FE0292">
      <w:pPr>
        <w:spacing w:after="0" w:line="240" w:lineRule="auto"/>
        <w:jc w:val="both"/>
        <w:rPr>
          <w:rFonts w:ascii="Arial" w:eastAsia="Times New Roman" w:hAnsi="Arial" w:cs="Arial"/>
          <w:lang w:eastAsia="en-GB"/>
        </w:rPr>
      </w:pPr>
    </w:p>
    <w:tbl>
      <w:tblPr>
        <w:tblpPr w:leftFromText="180" w:rightFromText="180" w:vertAnchor="page" w:horzAnchor="margin" w:tblpXSpec="center" w:tblpY="2056"/>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2"/>
        <w:gridCol w:w="1417"/>
        <w:gridCol w:w="425"/>
        <w:gridCol w:w="1134"/>
        <w:gridCol w:w="284"/>
        <w:gridCol w:w="425"/>
        <w:gridCol w:w="1066"/>
        <w:gridCol w:w="541"/>
        <w:gridCol w:w="309"/>
        <w:gridCol w:w="494"/>
        <w:gridCol w:w="1066"/>
        <w:gridCol w:w="743"/>
      </w:tblGrid>
      <w:tr w:rsidR="00EB38B7" w:rsidRPr="00EB38B7" w:rsidTr="00E9073B">
        <w:trPr>
          <w:cantSplit/>
        </w:trPr>
        <w:tc>
          <w:tcPr>
            <w:tcW w:w="3012" w:type="dxa"/>
            <w:tcBorders>
              <w:top w:val="single" w:sz="4" w:space="0" w:color="auto"/>
              <w:left w:val="single" w:sz="4" w:space="0" w:color="auto"/>
              <w:bottom w:val="single" w:sz="4" w:space="0" w:color="auto"/>
              <w:right w:val="single" w:sz="4" w:space="0" w:color="auto"/>
            </w:tcBorders>
          </w:tcPr>
          <w:p w:rsidR="00EB38B7" w:rsidRPr="00EB38B7" w:rsidRDefault="00EB38B7" w:rsidP="00EB38B7">
            <w:pPr>
              <w:spacing w:after="0" w:line="240" w:lineRule="auto"/>
              <w:rPr>
                <w:rFonts w:ascii="Arial" w:eastAsia="Times New Roman" w:hAnsi="Arial" w:cs="Arial"/>
                <w:b/>
                <w:bCs/>
                <w:lang w:eastAsia="en-GB"/>
              </w:rPr>
            </w:pPr>
          </w:p>
          <w:p w:rsidR="00EB38B7" w:rsidRPr="00E9073B" w:rsidRDefault="00E9073B"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Agenda i</w:t>
            </w:r>
            <w:r w:rsidR="00EB38B7" w:rsidRPr="00E9073B">
              <w:rPr>
                <w:rFonts w:ascii="Arial" w:eastAsia="Times New Roman" w:hAnsi="Arial" w:cs="Arial"/>
                <w:b/>
                <w:bCs/>
                <w:color w:val="005EB8"/>
                <w:sz w:val="24"/>
                <w:lang w:eastAsia="en-GB"/>
              </w:rPr>
              <w:t>tem:</w:t>
            </w:r>
          </w:p>
          <w:p w:rsidR="00EB38B7" w:rsidRPr="00E9073B" w:rsidRDefault="00EB38B7" w:rsidP="00EB38B7">
            <w:pPr>
              <w:spacing w:after="0" w:line="240" w:lineRule="auto"/>
              <w:rPr>
                <w:rFonts w:ascii="Arial" w:eastAsia="Times New Roman" w:hAnsi="Arial" w:cs="Arial"/>
                <w:b/>
                <w:bCs/>
                <w:color w:val="005EB8"/>
                <w:sz w:val="24"/>
                <w:lang w:eastAsia="en-GB"/>
              </w:rPr>
            </w:pPr>
          </w:p>
          <w:p w:rsidR="00EB38B7" w:rsidRPr="00E9073B" w:rsidRDefault="00EB38B7"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Presented by:</w:t>
            </w:r>
          </w:p>
          <w:p w:rsidR="00EB38B7" w:rsidRPr="00E9073B" w:rsidRDefault="00EB38B7" w:rsidP="00EB38B7">
            <w:pPr>
              <w:spacing w:after="0" w:line="240" w:lineRule="auto"/>
              <w:rPr>
                <w:rFonts w:ascii="Arial" w:eastAsia="Times New Roman" w:hAnsi="Arial" w:cs="Arial"/>
                <w:b/>
                <w:bCs/>
                <w:color w:val="005EB8"/>
                <w:sz w:val="24"/>
                <w:lang w:eastAsia="en-GB"/>
              </w:rPr>
            </w:pPr>
          </w:p>
          <w:p w:rsidR="00EB38B7" w:rsidRPr="00E9073B" w:rsidRDefault="00EB38B7"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Prepared by:</w:t>
            </w:r>
          </w:p>
          <w:p w:rsidR="00EB38B7" w:rsidRPr="00E9073B" w:rsidRDefault="00EB38B7" w:rsidP="00EB38B7">
            <w:pPr>
              <w:spacing w:after="0" w:line="240" w:lineRule="auto"/>
              <w:rPr>
                <w:rFonts w:ascii="Arial" w:eastAsia="Times New Roman" w:hAnsi="Arial" w:cs="Arial"/>
                <w:b/>
                <w:bCs/>
                <w:color w:val="005EB8"/>
                <w:sz w:val="24"/>
                <w:lang w:eastAsia="en-GB"/>
              </w:rPr>
            </w:pPr>
          </w:p>
          <w:p w:rsidR="00EB38B7" w:rsidRPr="00E9073B" w:rsidRDefault="00EB38B7"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Date prepared:</w:t>
            </w:r>
          </w:p>
          <w:p w:rsidR="00EB38B7" w:rsidRPr="00E9073B" w:rsidRDefault="00EB38B7" w:rsidP="00EB38B7">
            <w:pPr>
              <w:spacing w:after="0" w:line="240" w:lineRule="auto"/>
              <w:rPr>
                <w:rFonts w:ascii="Arial" w:eastAsia="Times New Roman" w:hAnsi="Arial" w:cs="Arial"/>
                <w:b/>
                <w:bCs/>
                <w:color w:val="005EB8"/>
                <w:sz w:val="24"/>
                <w:lang w:eastAsia="en-GB"/>
              </w:rPr>
            </w:pPr>
          </w:p>
          <w:p w:rsidR="00EB38B7" w:rsidRPr="00E9073B" w:rsidRDefault="00E9073B"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Subject</w:t>
            </w:r>
            <w:r w:rsidR="00EB38B7" w:rsidRPr="00E9073B">
              <w:rPr>
                <w:rFonts w:ascii="Arial" w:eastAsia="Times New Roman" w:hAnsi="Arial" w:cs="Arial"/>
                <w:b/>
                <w:bCs/>
                <w:color w:val="005EB8"/>
                <w:sz w:val="24"/>
                <w:lang w:eastAsia="en-GB"/>
              </w:rPr>
              <w:t>:</w:t>
            </w:r>
          </w:p>
          <w:p w:rsidR="00EB38B7" w:rsidRPr="00EB38B7" w:rsidRDefault="00EB38B7" w:rsidP="00EB38B7">
            <w:pPr>
              <w:spacing w:after="0" w:line="240" w:lineRule="auto"/>
              <w:rPr>
                <w:rFonts w:ascii="Arial" w:eastAsia="Times New Roman" w:hAnsi="Arial" w:cs="Arial"/>
                <w:b/>
                <w:bCs/>
                <w:lang w:eastAsia="en-GB"/>
              </w:rPr>
            </w:pPr>
            <w:r w:rsidRPr="00EB38B7">
              <w:rPr>
                <w:rFonts w:ascii="Arial" w:eastAsia="Times New Roman" w:hAnsi="Arial" w:cs="Arial"/>
                <w:b/>
                <w:bCs/>
                <w:lang w:eastAsia="en-GB"/>
              </w:rPr>
              <w:t xml:space="preserve"> </w:t>
            </w:r>
          </w:p>
        </w:tc>
        <w:tc>
          <w:tcPr>
            <w:tcW w:w="7904" w:type="dxa"/>
            <w:gridSpan w:val="11"/>
            <w:tcBorders>
              <w:top w:val="single" w:sz="4" w:space="0" w:color="auto"/>
              <w:left w:val="single" w:sz="4" w:space="0" w:color="auto"/>
              <w:bottom w:val="single" w:sz="4" w:space="0" w:color="auto"/>
              <w:right w:val="single" w:sz="4" w:space="0" w:color="auto"/>
            </w:tcBorders>
            <w:hideMark/>
          </w:tcPr>
          <w:p w:rsidR="00EB38B7" w:rsidRPr="00EB38B7" w:rsidRDefault="00EB38B7" w:rsidP="00EB38B7">
            <w:pPr>
              <w:spacing w:after="0" w:line="240" w:lineRule="auto"/>
              <w:rPr>
                <w:rFonts w:ascii="Arial" w:eastAsia="Times New Roman" w:hAnsi="Arial" w:cs="Arial"/>
                <w:bCs/>
                <w:lang w:eastAsia="en-GB"/>
              </w:rPr>
            </w:pPr>
          </w:p>
          <w:p w:rsidR="00EB38B7" w:rsidRPr="00EB38B7" w:rsidRDefault="007F3C7F" w:rsidP="00EB38B7">
            <w:pPr>
              <w:spacing w:after="0" w:line="240" w:lineRule="auto"/>
              <w:rPr>
                <w:rFonts w:ascii="Arial" w:eastAsia="Times New Roman" w:hAnsi="Arial" w:cs="Arial"/>
                <w:bCs/>
                <w:lang w:eastAsia="en-GB"/>
              </w:rPr>
            </w:pPr>
            <w:r>
              <w:rPr>
                <w:rFonts w:ascii="Arial" w:eastAsia="Times New Roman" w:hAnsi="Arial" w:cs="Arial"/>
                <w:bCs/>
                <w:lang w:eastAsia="en-GB"/>
              </w:rPr>
              <w:t>4.1</w:t>
            </w:r>
          </w:p>
          <w:p w:rsidR="005B1E79" w:rsidRDefault="005B1E79" w:rsidP="005B1E79">
            <w:pPr>
              <w:spacing w:after="0" w:line="240" w:lineRule="auto"/>
              <w:rPr>
                <w:rFonts w:ascii="Arial" w:eastAsia="Times New Roman" w:hAnsi="Arial" w:cs="Arial"/>
                <w:bCs/>
                <w:lang w:eastAsia="en-GB"/>
              </w:rPr>
            </w:pPr>
          </w:p>
          <w:p w:rsidR="00F23E0A" w:rsidRDefault="00F20A87" w:rsidP="007615E6">
            <w:pPr>
              <w:rPr>
                <w:rFonts w:ascii="Arial" w:eastAsia="Times New Roman" w:hAnsi="Arial" w:cs="Arial"/>
                <w:bCs/>
                <w:lang w:eastAsia="en-GB"/>
              </w:rPr>
            </w:pPr>
            <w:proofErr w:type="spellStart"/>
            <w:r>
              <w:rPr>
                <w:rFonts w:ascii="Arial" w:eastAsia="Times New Roman" w:hAnsi="Arial" w:cs="Arial"/>
                <w:bCs/>
                <w:lang w:eastAsia="en-GB"/>
              </w:rPr>
              <w:t>Ogechi</w:t>
            </w:r>
            <w:proofErr w:type="spellEnd"/>
            <w:r>
              <w:rPr>
                <w:rFonts w:ascii="Arial" w:eastAsia="Times New Roman" w:hAnsi="Arial" w:cs="Arial"/>
                <w:bCs/>
                <w:lang w:eastAsia="en-GB"/>
              </w:rPr>
              <w:t xml:space="preserve"> Emeadi – Director of People</w:t>
            </w:r>
          </w:p>
          <w:p w:rsidR="00DD4391" w:rsidRDefault="00DD4391" w:rsidP="007615E6">
            <w:pPr>
              <w:rPr>
                <w:rFonts w:ascii="Arial" w:eastAsia="Times New Roman" w:hAnsi="Arial" w:cs="Arial"/>
                <w:bCs/>
                <w:lang w:eastAsia="en-GB"/>
              </w:rPr>
            </w:pPr>
            <w:r>
              <w:rPr>
                <w:rFonts w:ascii="Arial" w:eastAsia="Times New Roman" w:hAnsi="Arial" w:cs="Arial"/>
                <w:bCs/>
                <w:lang w:eastAsia="en-GB"/>
              </w:rPr>
              <w:t>Nathaniel Williams</w:t>
            </w:r>
            <w:r w:rsidR="00F20A87">
              <w:rPr>
                <w:rFonts w:ascii="Arial" w:eastAsia="Times New Roman" w:hAnsi="Arial" w:cs="Arial"/>
                <w:bCs/>
                <w:lang w:eastAsia="en-GB"/>
              </w:rPr>
              <w:t xml:space="preserve">, People Information and Systems Manager </w:t>
            </w:r>
          </w:p>
          <w:p w:rsidR="002B7B3E" w:rsidRDefault="00F20A87" w:rsidP="007615E6">
            <w:pPr>
              <w:rPr>
                <w:rFonts w:ascii="Arial" w:eastAsia="Times New Roman" w:hAnsi="Arial" w:cs="Arial"/>
                <w:lang w:eastAsia="en-GB"/>
              </w:rPr>
            </w:pPr>
            <w:r>
              <w:rPr>
                <w:rFonts w:ascii="Arial" w:eastAsia="Times New Roman" w:hAnsi="Arial" w:cs="Arial"/>
                <w:lang w:eastAsia="en-GB"/>
              </w:rPr>
              <w:t>18 January 2023</w:t>
            </w:r>
          </w:p>
          <w:p w:rsidR="007615E6" w:rsidRPr="007615E6" w:rsidRDefault="002B7B3E" w:rsidP="007615E6">
            <w:pPr>
              <w:rPr>
                <w:rFonts w:ascii="Arial" w:eastAsia="Times New Roman" w:hAnsi="Arial" w:cs="Arial"/>
                <w:lang w:eastAsia="en-GB"/>
              </w:rPr>
            </w:pPr>
            <w:r>
              <w:rPr>
                <w:rFonts w:ascii="Arial" w:eastAsia="Times New Roman" w:hAnsi="Arial" w:cs="Arial"/>
                <w:lang w:eastAsia="en-GB"/>
              </w:rPr>
              <w:t xml:space="preserve">Gender Pay Gap </w:t>
            </w:r>
            <w:r w:rsidR="009B680E">
              <w:rPr>
                <w:rFonts w:ascii="Arial" w:eastAsia="Times New Roman" w:hAnsi="Arial" w:cs="Arial"/>
                <w:lang w:eastAsia="en-GB"/>
              </w:rPr>
              <w:t>R</w:t>
            </w:r>
            <w:r>
              <w:rPr>
                <w:rFonts w:ascii="Arial" w:eastAsia="Times New Roman" w:hAnsi="Arial" w:cs="Arial"/>
                <w:lang w:eastAsia="en-GB"/>
              </w:rPr>
              <w:t>eporting 2022</w:t>
            </w:r>
          </w:p>
        </w:tc>
      </w:tr>
      <w:tr w:rsidR="00EB38B7" w:rsidRPr="00EB38B7" w:rsidTr="003163DF">
        <w:trPr>
          <w:cantSplit/>
        </w:trPr>
        <w:tc>
          <w:tcPr>
            <w:tcW w:w="3012" w:type="dxa"/>
            <w:tcBorders>
              <w:top w:val="single" w:sz="4" w:space="0" w:color="auto"/>
              <w:left w:val="single" w:sz="4" w:space="0" w:color="auto"/>
              <w:bottom w:val="single" w:sz="4" w:space="0" w:color="auto"/>
              <w:right w:val="single" w:sz="4" w:space="0" w:color="auto"/>
            </w:tcBorders>
          </w:tcPr>
          <w:p w:rsidR="00EB38B7" w:rsidRPr="00E9073B" w:rsidRDefault="00EB38B7" w:rsidP="00EB38B7">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417" w:type="dxa"/>
            <w:tcBorders>
              <w:top w:val="single" w:sz="4" w:space="0" w:color="auto"/>
              <w:left w:val="single" w:sz="4" w:space="0" w:color="auto"/>
              <w:bottom w:val="single" w:sz="4" w:space="0" w:color="auto"/>
              <w:right w:val="single" w:sz="4" w:space="0" w:color="auto"/>
            </w:tcBorders>
          </w:tcPr>
          <w:p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Approval</w:t>
            </w:r>
          </w:p>
        </w:tc>
        <w:tc>
          <w:tcPr>
            <w:tcW w:w="425" w:type="dxa"/>
            <w:tcBorders>
              <w:top w:val="single" w:sz="4" w:space="0" w:color="auto"/>
              <w:left w:val="single" w:sz="4" w:space="0" w:color="auto"/>
              <w:bottom w:val="single" w:sz="4" w:space="0" w:color="auto"/>
              <w:right w:val="single" w:sz="4" w:space="0" w:color="auto"/>
            </w:tcBorders>
          </w:tcPr>
          <w:p w:rsidR="00EB38B7" w:rsidRPr="003163DF" w:rsidRDefault="00EB38B7" w:rsidP="003163DF">
            <w:pPr>
              <w:spacing w:after="0" w:line="240" w:lineRule="auto"/>
              <w:rPr>
                <w:rFonts w:ascii="Arial" w:eastAsia="Times New Roman" w:hAnsi="Arial" w:cs="Arial"/>
                <w:b/>
                <w:color w:val="005EB8"/>
                <w:sz w:val="24"/>
                <w:szCs w:val="24"/>
                <w:lang w:eastAsia="en-GB"/>
              </w:rPr>
            </w:pPr>
          </w:p>
        </w:tc>
        <w:tc>
          <w:tcPr>
            <w:tcW w:w="1418" w:type="dxa"/>
            <w:gridSpan w:val="2"/>
            <w:tcBorders>
              <w:top w:val="single" w:sz="4" w:space="0" w:color="auto"/>
              <w:left w:val="single" w:sz="4" w:space="0" w:color="auto"/>
              <w:bottom w:val="single" w:sz="4" w:space="0" w:color="auto"/>
              <w:right w:val="single" w:sz="4" w:space="0" w:color="auto"/>
            </w:tcBorders>
          </w:tcPr>
          <w:p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Decision</w:t>
            </w:r>
          </w:p>
        </w:tc>
        <w:tc>
          <w:tcPr>
            <w:tcW w:w="425" w:type="dxa"/>
            <w:tcBorders>
              <w:top w:val="single" w:sz="4" w:space="0" w:color="auto"/>
              <w:left w:val="single" w:sz="4" w:space="0" w:color="auto"/>
              <w:bottom w:val="single" w:sz="4" w:space="0" w:color="auto"/>
              <w:right w:val="single" w:sz="4" w:space="0" w:color="auto"/>
            </w:tcBorders>
          </w:tcPr>
          <w:p w:rsidR="00EB38B7" w:rsidRPr="003163DF" w:rsidRDefault="00EB38B7" w:rsidP="003163DF">
            <w:pPr>
              <w:spacing w:after="0" w:line="240" w:lineRule="auto"/>
              <w:rPr>
                <w:rFonts w:ascii="Arial" w:eastAsia="Times New Roman" w:hAnsi="Arial" w:cs="Arial"/>
                <w:b/>
                <w:color w:val="005EB8"/>
                <w:sz w:val="24"/>
                <w:szCs w:val="24"/>
                <w:lang w:eastAsia="en-GB"/>
              </w:rPr>
            </w:pPr>
          </w:p>
        </w:tc>
        <w:tc>
          <w:tcPr>
            <w:tcW w:w="1607" w:type="dxa"/>
            <w:gridSpan w:val="2"/>
            <w:tcBorders>
              <w:top w:val="single" w:sz="4" w:space="0" w:color="auto"/>
              <w:left w:val="single" w:sz="4" w:space="0" w:color="auto"/>
              <w:bottom w:val="single" w:sz="4" w:space="0" w:color="auto"/>
              <w:right w:val="single" w:sz="4" w:space="0" w:color="auto"/>
            </w:tcBorders>
          </w:tcPr>
          <w:p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Information</w:t>
            </w:r>
          </w:p>
        </w:tc>
        <w:tc>
          <w:tcPr>
            <w:tcW w:w="309" w:type="dxa"/>
            <w:tcBorders>
              <w:top w:val="single" w:sz="4" w:space="0" w:color="auto"/>
              <w:left w:val="single" w:sz="4" w:space="0" w:color="auto"/>
              <w:bottom w:val="single" w:sz="4" w:space="0" w:color="auto"/>
              <w:right w:val="single" w:sz="4" w:space="0" w:color="auto"/>
            </w:tcBorders>
          </w:tcPr>
          <w:p w:rsidR="00EB38B7" w:rsidRPr="003163DF" w:rsidRDefault="002B7B3E" w:rsidP="003163DF">
            <w:pPr>
              <w:spacing w:after="0" w:line="240" w:lineRule="auto"/>
              <w:rPr>
                <w:rFonts w:ascii="Arial" w:eastAsia="Times New Roman" w:hAnsi="Arial" w:cs="Arial"/>
                <w:b/>
                <w:color w:val="005EB8"/>
                <w:sz w:val="24"/>
                <w:szCs w:val="24"/>
                <w:lang w:eastAsia="en-GB"/>
              </w:rPr>
            </w:pPr>
            <w:r>
              <w:rPr>
                <w:rFonts w:ascii="Arial" w:eastAsia="Times New Roman" w:hAnsi="Arial" w:cs="Arial"/>
                <w:b/>
                <w:color w:val="005EB8"/>
                <w:sz w:val="24"/>
                <w:szCs w:val="24"/>
                <w:lang w:eastAsia="en-GB"/>
              </w:rPr>
              <w:t>x</w:t>
            </w:r>
          </w:p>
        </w:tc>
        <w:tc>
          <w:tcPr>
            <w:tcW w:w="1560" w:type="dxa"/>
            <w:gridSpan w:val="2"/>
            <w:tcBorders>
              <w:top w:val="single" w:sz="4" w:space="0" w:color="auto"/>
              <w:left w:val="single" w:sz="4" w:space="0" w:color="auto"/>
              <w:bottom w:val="single" w:sz="4" w:space="0" w:color="auto"/>
              <w:right w:val="single" w:sz="4" w:space="0" w:color="auto"/>
            </w:tcBorders>
          </w:tcPr>
          <w:p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Assurance</w:t>
            </w:r>
          </w:p>
        </w:tc>
        <w:tc>
          <w:tcPr>
            <w:tcW w:w="743" w:type="dxa"/>
            <w:tcBorders>
              <w:top w:val="single" w:sz="4" w:space="0" w:color="auto"/>
              <w:left w:val="single" w:sz="4" w:space="0" w:color="auto"/>
              <w:bottom w:val="single" w:sz="4" w:space="0" w:color="auto"/>
              <w:right w:val="single" w:sz="4" w:space="0" w:color="auto"/>
            </w:tcBorders>
          </w:tcPr>
          <w:p w:rsidR="00EB38B7" w:rsidRPr="00E9073B" w:rsidRDefault="00EB38B7" w:rsidP="00EB38B7">
            <w:pPr>
              <w:spacing w:after="0" w:line="240" w:lineRule="auto"/>
              <w:jc w:val="center"/>
              <w:rPr>
                <w:rFonts w:ascii="Arial" w:eastAsia="Times New Roman" w:hAnsi="Arial" w:cs="Arial"/>
                <w:sz w:val="24"/>
                <w:szCs w:val="24"/>
                <w:lang w:eastAsia="en-GB"/>
              </w:rPr>
            </w:pPr>
          </w:p>
        </w:tc>
      </w:tr>
      <w:tr w:rsidR="00EB38B7" w:rsidRPr="00EB38B7" w:rsidTr="00E9073B">
        <w:trPr>
          <w:cantSplit/>
          <w:trHeight w:hRule="exact" w:val="2835"/>
        </w:trPr>
        <w:tc>
          <w:tcPr>
            <w:tcW w:w="3012" w:type="dxa"/>
            <w:tcBorders>
              <w:top w:val="single" w:sz="4" w:space="0" w:color="auto"/>
              <w:left w:val="single" w:sz="4" w:space="0" w:color="auto"/>
              <w:bottom w:val="single" w:sz="4" w:space="0" w:color="auto"/>
              <w:right w:val="single" w:sz="4" w:space="0" w:color="auto"/>
            </w:tcBorders>
            <w:hideMark/>
          </w:tcPr>
          <w:p w:rsidR="00EB38B7" w:rsidRPr="00E9073B" w:rsidRDefault="00EB38B7" w:rsidP="00EB38B7">
            <w:pPr>
              <w:spacing w:after="0" w:line="240" w:lineRule="auto"/>
              <w:rPr>
                <w:rFonts w:ascii="Arial" w:eastAsia="Times New Roman" w:hAnsi="Arial" w:cs="Arial"/>
                <w:b/>
                <w:bCs/>
                <w:sz w:val="24"/>
                <w:szCs w:val="24"/>
                <w:lang w:eastAsia="en-GB"/>
              </w:rPr>
            </w:pPr>
          </w:p>
          <w:p w:rsidR="00EB38B7" w:rsidRPr="00E9073B" w:rsidRDefault="00E9073B" w:rsidP="00EB38B7">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Key i</w:t>
            </w:r>
            <w:r w:rsidR="00B15F9E" w:rsidRPr="00E9073B">
              <w:rPr>
                <w:rFonts w:ascii="Arial" w:eastAsia="Times New Roman" w:hAnsi="Arial" w:cs="Arial"/>
                <w:b/>
                <w:bCs/>
                <w:color w:val="005EB8"/>
                <w:sz w:val="24"/>
                <w:szCs w:val="24"/>
                <w:lang w:eastAsia="en-GB"/>
              </w:rPr>
              <w:t>ssues</w:t>
            </w:r>
            <w:r w:rsidR="00EB38B7" w:rsidRPr="00E9073B">
              <w:rPr>
                <w:rFonts w:ascii="Arial" w:eastAsia="Times New Roman" w:hAnsi="Arial" w:cs="Arial"/>
                <w:b/>
                <w:bCs/>
                <w:color w:val="005EB8"/>
                <w:sz w:val="24"/>
                <w:szCs w:val="24"/>
                <w:lang w:eastAsia="en-GB"/>
              </w:rPr>
              <w:t>:</w:t>
            </w:r>
          </w:p>
          <w:p w:rsidR="00EB38B7" w:rsidRPr="00E9073B" w:rsidRDefault="00EB38B7" w:rsidP="00EB38B7">
            <w:pPr>
              <w:spacing w:after="0" w:line="240" w:lineRule="auto"/>
              <w:rPr>
                <w:rFonts w:ascii="Arial" w:eastAsia="Times New Roman" w:hAnsi="Arial" w:cs="Arial"/>
                <w:b/>
                <w:bCs/>
                <w:sz w:val="24"/>
                <w:szCs w:val="24"/>
                <w:lang w:eastAsia="en-GB"/>
              </w:rPr>
            </w:pPr>
            <w:r w:rsidRPr="00E9073B">
              <w:rPr>
                <w:rFonts w:ascii="Arial" w:eastAsia="Times New Roman" w:hAnsi="Arial" w:cs="Arial"/>
                <w:bCs/>
                <w:sz w:val="24"/>
                <w:szCs w:val="24"/>
                <w:lang w:eastAsia="en-GB"/>
              </w:rPr>
              <w:t>please don’t expand this cell; additional information should be included</w:t>
            </w:r>
            <w:r w:rsidR="00E9073B">
              <w:rPr>
                <w:rFonts w:ascii="Arial" w:eastAsia="Times New Roman" w:hAnsi="Arial" w:cs="Arial"/>
                <w:bCs/>
                <w:sz w:val="24"/>
                <w:szCs w:val="24"/>
                <w:lang w:eastAsia="en-GB"/>
              </w:rPr>
              <w:t xml:space="preserve"> in the main body of the report</w:t>
            </w:r>
          </w:p>
        </w:tc>
        <w:tc>
          <w:tcPr>
            <w:tcW w:w="7904" w:type="dxa"/>
            <w:gridSpan w:val="11"/>
            <w:tcBorders>
              <w:top w:val="single" w:sz="4" w:space="0" w:color="auto"/>
              <w:left w:val="single" w:sz="4" w:space="0" w:color="auto"/>
              <w:bottom w:val="single" w:sz="4" w:space="0" w:color="auto"/>
              <w:right w:val="single" w:sz="4" w:space="0" w:color="auto"/>
            </w:tcBorders>
          </w:tcPr>
          <w:p w:rsidR="00F20A87" w:rsidRDefault="00F20A87" w:rsidP="00F20A87">
            <w:pPr>
              <w:pStyle w:val="ListParagraph"/>
              <w:spacing w:after="0" w:line="240" w:lineRule="auto"/>
              <w:ind w:left="-11" w:firstLine="11"/>
              <w:rPr>
                <w:rFonts w:ascii="Arial" w:hAnsi="Arial" w:cs="Arial"/>
                <w:color w:val="000000" w:themeColor="text1"/>
                <w:sz w:val="18"/>
                <w:szCs w:val="18"/>
              </w:rPr>
            </w:pPr>
            <w:r w:rsidRPr="008679B1">
              <w:rPr>
                <w:rFonts w:ascii="Arial" w:hAnsi="Arial" w:cs="Arial"/>
                <w:color w:val="000000" w:themeColor="text1"/>
                <w:sz w:val="18"/>
                <w:szCs w:val="18"/>
              </w:rPr>
              <w:t>Gender pay gap reporting legislation is distinct from equal pay. Equal pay is concerned with men and women earning equal pay for the same or similar work. The gender pay gap is about the difference between men and women average pay within an organisation</w:t>
            </w:r>
          </w:p>
          <w:p w:rsidR="008679B1" w:rsidRPr="008679B1" w:rsidRDefault="008679B1" w:rsidP="00F20A87">
            <w:pPr>
              <w:pStyle w:val="ListParagraph"/>
              <w:spacing w:after="0" w:line="240" w:lineRule="auto"/>
              <w:ind w:left="-11" w:firstLine="11"/>
              <w:rPr>
                <w:rFonts w:ascii="Arial" w:eastAsia="Times New Roman" w:hAnsi="Arial" w:cs="Arial"/>
                <w:sz w:val="18"/>
                <w:szCs w:val="18"/>
                <w:lang w:eastAsia="en-GB"/>
              </w:rPr>
            </w:pPr>
          </w:p>
          <w:p w:rsidR="00DD4391" w:rsidRPr="008679B1" w:rsidRDefault="00DD4391" w:rsidP="00DD4391">
            <w:pPr>
              <w:pStyle w:val="ListParagraph"/>
              <w:numPr>
                <w:ilvl w:val="0"/>
                <w:numId w:val="25"/>
              </w:numPr>
              <w:spacing w:after="0" w:line="240" w:lineRule="auto"/>
              <w:ind w:left="283" w:hanging="283"/>
              <w:rPr>
                <w:rFonts w:ascii="Arial" w:eastAsia="Times New Roman" w:hAnsi="Arial" w:cs="Arial"/>
                <w:sz w:val="18"/>
                <w:szCs w:val="18"/>
                <w:lang w:eastAsia="en-GB"/>
              </w:rPr>
            </w:pPr>
            <w:r w:rsidRPr="008679B1">
              <w:rPr>
                <w:rFonts w:ascii="Arial" w:eastAsia="Times New Roman" w:hAnsi="Arial" w:cs="Arial"/>
                <w:sz w:val="18"/>
                <w:szCs w:val="18"/>
                <w:lang w:eastAsia="en-GB"/>
              </w:rPr>
              <w:t>The gender pay gap as at 31 March 202</w:t>
            </w:r>
            <w:r w:rsidR="00F5277C" w:rsidRPr="008679B1">
              <w:rPr>
                <w:rFonts w:ascii="Arial" w:eastAsia="Times New Roman" w:hAnsi="Arial" w:cs="Arial"/>
                <w:sz w:val="18"/>
                <w:szCs w:val="18"/>
                <w:lang w:eastAsia="en-GB"/>
              </w:rPr>
              <w:t>2</w:t>
            </w:r>
            <w:r w:rsidRPr="008679B1">
              <w:rPr>
                <w:rFonts w:ascii="Arial" w:eastAsia="Times New Roman" w:hAnsi="Arial" w:cs="Arial"/>
                <w:sz w:val="18"/>
                <w:szCs w:val="18"/>
                <w:lang w:eastAsia="en-GB"/>
              </w:rPr>
              <w:t xml:space="preserve"> reports men have higher mean and median average pay than women</w:t>
            </w:r>
          </w:p>
          <w:p w:rsidR="00DD4391" w:rsidRPr="008679B1" w:rsidRDefault="00DD4391" w:rsidP="00DD4391">
            <w:pPr>
              <w:pStyle w:val="ListParagraph"/>
              <w:numPr>
                <w:ilvl w:val="0"/>
                <w:numId w:val="25"/>
              </w:numPr>
              <w:spacing w:after="0" w:line="240" w:lineRule="auto"/>
              <w:ind w:left="283" w:hanging="283"/>
              <w:rPr>
                <w:rFonts w:ascii="Arial" w:eastAsia="Times New Roman" w:hAnsi="Arial" w:cs="Arial"/>
                <w:sz w:val="18"/>
                <w:szCs w:val="18"/>
                <w:lang w:eastAsia="en-GB"/>
              </w:rPr>
            </w:pPr>
            <w:r w:rsidRPr="008679B1">
              <w:rPr>
                <w:rFonts w:ascii="Arial" w:eastAsia="Times New Roman" w:hAnsi="Arial" w:cs="Arial"/>
                <w:sz w:val="18"/>
                <w:szCs w:val="18"/>
                <w:lang w:eastAsia="en-GB"/>
              </w:rPr>
              <w:t>The difference between mean pay of men and women is 2</w:t>
            </w:r>
            <w:r w:rsidR="00F5277C" w:rsidRPr="008679B1">
              <w:rPr>
                <w:rFonts w:ascii="Arial" w:eastAsia="Times New Roman" w:hAnsi="Arial" w:cs="Arial"/>
                <w:sz w:val="18"/>
                <w:szCs w:val="18"/>
                <w:lang w:eastAsia="en-GB"/>
              </w:rPr>
              <w:t>4</w:t>
            </w:r>
            <w:r w:rsidRPr="008679B1">
              <w:rPr>
                <w:rFonts w:ascii="Arial" w:eastAsia="Times New Roman" w:hAnsi="Arial" w:cs="Arial"/>
                <w:sz w:val="18"/>
                <w:szCs w:val="18"/>
                <w:lang w:eastAsia="en-GB"/>
              </w:rPr>
              <w:t>% and that of median average pay is 1</w:t>
            </w:r>
            <w:r w:rsidR="00F5277C" w:rsidRPr="008679B1">
              <w:rPr>
                <w:rFonts w:ascii="Arial" w:eastAsia="Times New Roman" w:hAnsi="Arial" w:cs="Arial"/>
                <w:sz w:val="18"/>
                <w:szCs w:val="18"/>
                <w:lang w:eastAsia="en-GB"/>
              </w:rPr>
              <w:t>6</w:t>
            </w:r>
            <w:r w:rsidRPr="008679B1">
              <w:rPr>
                <w:rFonts w:ascii="Arial" w:eastAsia="Times New Roman" w:hAnsi="Arial" w:cs="Arial"/>
                <w:sz w:val="18"/>
                <w:szCs w:val="18"/>
                <w:lang w:eastAsia="en-GB"/>
              </w:rPr>
              <w:t xml:space="preserve">% </w:t>
            </w:r>
          </w:p>
          <w:p w:rsidR="00DD4391" w:rsidRPr="008679B1" w:rsidRDefault="00DD4391" w:rsidP="00DD4391">
            <w:pPr>
              <w:pStyle w:val="ListParagraph"/>
              <w:numPr>
                <w:ilvl w:val="0"/>
                <w:numId w:val="25"/>
              </w:numPr>
              <w:spacing w:after="0" w:line="240" w:lineRule="auto"/>
              <w:ind w:left="283" w:hanging="283"/>
              <w:rPr>
                <w:rFonts w:ascii="Arial" w:eastAsia="Times New Roman" w:hAnsi="Arial" w:cs="Arial"/>
                <w:sz w:val="18"/>
                <w:szCs w:val="18"/>
                <w:lang w:eastAsia="en-GB"/>
              </w:rPr>
            </w:pPr>
            <w:r w:rsidRPr="008679B1">
              <w:rPr>
                <w:rFonts w:ascii="Arial" w:eastAsia="Times New Roman" w:hAnsi="Arial" w:cs="Arial"/>
                <w:sz w:val="18"/>
                <w:szCs w:val="18"/>
                <w:lang w:eastAsia="en-GB"/>
              </w:rPr>
              <w:t>Wh</w:t>
            </w:r>
            <w:r w:rsidR="00F5277C" w:rsidRPr="008679B1">
              <w:rPr>
                <w:rFonts w:ascii="Arial" w:eastAsia="Times New Roman" w:hAnsi="Arial" w:cs="Arial"/>
                <w:sz w:val="18"/>
                <w:szCs w:val="18"/>
                <w:lang w:eastAsia="en-GB"/>
              </w:rPr>
              <w:t>ilst m</w:t>
            </w:r>
            <w:r w:rsidRPr="008679B1">
              <w:rPr>
                <w:rFonts w:ascii="Arial" w:eastAsia="Times New Roman" w:hAnsi="Arial" w:cs="Arial"/>
                <w:sz w:val="18"/>
                <w:szCs w:val="18"/>
                <w:lang w:eastAsia="en-GB"/>
              </w:rPr>
              <w:t>edical and dental staff are separated from agenda for change staff</w:t>
            </w:r>
            <w:r w:rsidR="00F20A87" w:rsidRPr="008679B1">
              <w:rPr>
                <w:rFonts w:ascii="Arial" w:eastAsia="Times New Roman" w:hAnsi="Arial" w:cs="Arial"/>
                <w:sz w:val="18"/>
                <w:szCs w:val="18"/>
                <w:lang w:eastAsia="en-GB"/>
              </w:rPr>
              <w:t xml:space="preserve"> and</w:t>
            </w:r>
            <w:r w:rsidRPr="008679B1">
              <w:rPr>
                <w:rFonts w:ascii="Arial" w:eastAsia="Times New Roman" w:hAnsi="Arial" w:cs="Arial"/>
                <w:sz w:val="18"/>
                <w:szCs w:val="18"/>
                <w:lang w:eastAsia="en-GB"/>
              </w:rPr>
              <w:t xml:space="preserve"> very senior manager</w:t>
            </w:r>
            <w:r w:rsidR="00F20A87" w:rsidRPr="008679B1">
              <w:rPr>
                <w:rFonts w:ascii="Arial" w:eastAsia="Times New Roman" w:hAnsi="Arial" w:cs="Arial"/>
                <w:sz w:val="18"/>
                <w:szCs w:val="18"/>
                <w:lang w:eastAsia="en-GB"/>
              </w:rPr>
              <w:t>s</w:t>
            </w:r>
            <w:r w:rsidRPr="008679B1">
              <w:rPr>
                <w:rFonts w:ascii="Arial" w:eastAsia="Times New Roman" w:hAnsi="Arial" w:cs="Arial"/>
                <w:sz w:val="18"/>
                <w:szCs w:val="18"/>
                <w:lang w:eastAsia="en-GB"/>
              </w:rPr>
              <w:t xml:space="preserve">, the mean gap is that women earn </w:t>
            </w:r>
            <w:r w:rsidR="00F5277C" w:rsidRPr="008679B1">
              <w:rPr>
                <w:rFonts w:ascii="Arial" w:eastAsia="Times New Roman" w:hAnsi="Arial" w:cs="Arial"/>
                <w:sz w:val="18"/>
                <w:szCs w:val="18"/>
                <w:lang w:eastAsia="en-GB"/>
              </w:rPr>
              <w:t>1</w:t>
            </w:r>
            <w:r w:rsidRPr="008679B1">
              <w:rPr>
                <w:rFonts w:ascii="Arial" w:eastAsia="Times New Roman" w:hAnsi="Arial" w:cs="Arial"/>
                <w:sz w:val="18"/>
                <w:szCs w:val="18"/>
                <w:lang w:eastAsia="en-GB"/>
              </w:rPr>
              <w:t xml:space="preserve">% less than men and the median gap is in favour for women earning </w:t>
            </w:r>
            <w:r w:rsidR="00F5277C" w:rsidRPr="008679B1">
              <w:rPr>
                <w:rFonts w:ascii="Arial" w:eastAsia="Times New Roman" w:hAnsi="Arial" w:cs="Arial"/>
                <w:sz w:val="18"/>
                <w:szCs w:val="18"/>
                <w:lang w:eastAsia="en-GB"/>
              </w:rPr>
              <w:t>5%</w:t>
            </w:r>
            <w:r w:rsidRPr="008679B1">
              <w:rPr>
                <w:rFonts w:ascii="Arial" w:eastAsia="Times New Roman" w:hAnsi="Arial" w:cs="Arial"/>
                <w:sz w:val="18"/>
                <w:szCs w:val="18"/>
                <w:lang w:eastAsia="en-GB"/>
              </w:rPr>
              <w:t>more</w:t>
            </w:r>
            <w:r w:rsidR="00F5277C" w:rsidRPr="008679B1">
              <w:rPr>
                <w:rFonts w:ascii="Arial" w:eastAsia="Times New Roman" w:hAnsi="Arial" w:cs="Arial"/>
                <w:sz w:val="18"/>
                <w:szCs w:val="18"/>
                <w:lang w:eastAsia="en-GB"/>
              </w:rPr>
              <w:t xml:space="preserve"> than men</w:t>
            </w:r>
          </w:p>
          <w:p w:rsidR="00DD4391" w:rsidRPr="00F20A87" w:rsidRDefault="00DD4391" w:rsidP="00DD4391">
            <w:pPr>
              <w:pStyle w:val="ListParagraph"/>
              <w:numPr>
                <w:ilvl w:val="0"/>
                <w:numId w:val="25"/>
              </w:numPr>
              <w:spacing w:after="0" w:line="240" w:lineRule="auto"/>
              <w:ind w:left="283" w:hanging="283"/>
              <w:rPr>
                <w:rFonts w:ascii="Arial" w:eastAsia="Times New Roman" w:hAnsi="Arial" w:cs="Arial"/>
                <w:sz w:val="20"/>
                <w:szCs w:val="20"/>
                <w:lang w:eastAsia="en-GB"/>
              </w:rPr>
            </w:pPr>
            <w:r w:rsidRPr="008679B1">
              <w:rPr>
                <w:rFonts w:ascii="Arial" w:eastAsia="Times New Roman" w:hAnsi="Arial" w:cs="Arial"/>
                <w:sz w:val="18"/>
                <w:szCs w:val="18"/>
                <w:lang w:eastAsia="en-GB"/>
              </w:rPr>
              <w:t xml:space="preserve">The medical and dental mean and median </w:t>
            </w:r>
            <w:r w:rsidR="00F5277C" w:rsidRPr="008679B1">
              <w:rPr>
                <w:rFonts w:ascii="Arial" w:eastAsia="Times New Roman" w:hAnsi="Arial" w:cs="Arial"/>
                <w:sz w:val="18"/>
                <w:szCs w:val="18"/>
                <w:lang w:eastAsia="en-GB"/>
              </w:rPr>
              <w:t xml:space="preserve">pay </w:t>
            </w:r>
            <w:r w:rsidRPr="008679B1">
              <w:rPr>
                <w:rFonts w:ascii="Arial" w:eastAsia="Times New Roman" w:hAnsi="Arial" w:cs="Arial"/>
                <w:sz w:val="18"/>
                <w:szCs w:val="18"/>
                <w:lang w:eastAsia="en-GB"/>
              </w:rPr>
              <w:t>gap is 1</w:t>
            </w:r>
            <w:r w:rsidR="00F5277C" w:rsidRPr="008679B1">
              <w:rPr>
                <w:rFonts w:ascii="Arial" w:eastAsia="Times New Roman" w:hAnsi="Arial" w:cs="Arial"/>
                <w:sz w:val="18"/>
                <w:szCs w:val="18"/>
                <w:lang w:eastAsia="en-GB"/>
              </w:rPr>
              <w:t>0</w:t>
            </w:r>
            <w:r w:rsidRPr="008679B1">
              <w:rPr>
                <w:rFonts w:ascii="Arial" w:eastAsia="Times New Roman" w:hAnsi="Arial" w:cs="Arial"/>
                <w:sz w:val="18"/>
                <w:szCs w:val="18"/>
                <w:lang w:eastAsia="en-GB"/>
              </w:rPr>
              <w:t xml:space="preserve">% and </w:t>
            </w:r>
            <w:r w:rsidR="00F5277C" w:rsidRPr="008679B1">
              <w:rPr>
                <w:rFonts w:ascii="Arial" w:eastAsia="Times New Roman" w:hAnsi="Arial" w:cs="Arial"/>
                <w:sz w:val="18"/>
                <w:szCs w:val="18"/>
                <w:lang w:eastAsia="en-GB"/>
              </w:rPr>
              <w:t>15</w:t>
            </w:r>
            <w:r w:rsidRPr="008679B1">
              <w:rPr>
                <w:rFonts w:ascii="Arial" w:eastAsia="Times New Roman" w:hAnsi="Arial" w:cs="Arial"/>
                <w:sz w:val="18"/>
                <w:szCs w:val="18"/>
                <w:lang w:eastAsia="en-GB"/>
              </w:rPr>
              <w:t>% in favour for</w:t>
            </w:r>
            <w:r w:rsidRPr="008679B1">
              <w:rPr>
                <w:rFonts w:ascii="Arial" w:eastAsia="Times New Roman" w:hAnsi="Arial" w:cs="Arial"/>
                <w:sz w:val="20"/>
                <w:szCs w:val="20"/>
                <w:lang w:eastAsia="en-GB"/>
              </w:rPr>
              <w:t xml:space="preserve"> men</w:t>
            </w:r>
          </w:p>
          <w:p w:rsidR="00FF7D8A" w:rsidRPr="00F20A87" w:rsidRDefault="00FF7D8A" w:rsidP="00FF7D8A">
            <w:pPr>
              <w:spacing w:after="0" w:line="240" w:lineRule="auto"/>
              <w:rPr>
                <w:rFonts w:ascii="Arial" w:eastAsia="Times New Roman" w:hAnsi="Arial" w:cs="Arial"/>
                <w:sz w:val="20"/>
                <w:szCs w:val="20"/>
                <w:lang w:eastAsia="en-GB"/>
              </w:rPr>
            </w:pPr>
          </w:p>
          <w:p w:rsidR="00FF7D8A" w:rsidRPr="00F20A87" w:rsidRDefault="00FF7D8A" w:rsidP="00F23E0A">
            <w:pPr>
              <w:spacing w:after="0" w:line="240" w:lineRule="auto"/>
              <w:rPr>
                <w:rFonts w:ascii="Arial" w:eastAsia="Times New Roman" w:hAnsi="Arial" w:cs="Arial"/>
                <w:sz w:val="20"/>
                <w:szCs w:val="20"/>
                <w:lang w:eastAsia="en-GB"/>
              </w:rPr>
            </w:pPr>
          </w:p>
          <w:p w:rsidR="000F47F4" w:rsidRPr="00F20A87" w:rsidRDefault="000F47F4" w:rsidP="00A310C9">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0F47F4" w:rsidRPr="00F20A87" w:rsidRDefault="000F47F4"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C13A74" w:rsidRPr="00F20A87" w:rsidRDefault="00C13A74"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color w:val="FF0000"/>
                <w:sz w:val="20"/>
                <w:szCs w:val="20"/>
                <w:lang w:eastAsia="en-GB"/>
              </w:rPr>
            </w:pPr>
          </w:p>
          <w:p w:rsidR="00EB38B7" w:rsidRPr="00F20A87" w:rsidRDefault="00EB38B7" w:rsidP="00EB38B7">
            <w:pPr>
              <w:spacing w:after="0" w:line="240" w:lineRule="auto"/>
              <w:rPr>
                <w:rFonts w:ascii="Arial" w:eastAsia="Times New Roman" w:hAnsi="Arial" w:cs="Arial"/>
                <w:color w:val="FF0000"/>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color w:val="FF0000"/>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p w:rsidR="00EB38B7" w:rsidRPr="00F20A87" w:rsidRDefault="00EB38B7" w:rsidP="00EB38B7">
            <w:pPr>
              <w:spacing w:after="0" w:line="240" w:lineRule="auto"/>
              <w:rPr>
                <w:rFonts w:ascii="Arial" w:eastAsia="Times New Roman" w:hAnsi="Arial" w:cs="Arial"/>
                <w:sz w:val="20"/>
                <w:szCs w:val="20"/>
                <w:lang w:eastAsia="en-GB"/>
              </w:rPr>
            </w:pPr>
          </w:p>
        </w:tc>
      </w:tr>
      <w:tr w:rsidR="00EB38B7" w:rsidRPr="00EB38B7" w:rsidTr="00E9073B">
        <w:trPr>
          <w:cantSplit/>
          <w:trHeight w:hRule="exact" w:val="1418"/>
        </w:trPr>
        <w:tc>
          <w:tcPr>
            <w:tcW w:w="3012" w:type="dxa"/>
            <w:tcBorders>
              <w:top w:val="single" w:sz="4" w:space="0" w:color="auto"/>
              <w:left w:val="single" w:sz="4" w:space="0" w:color="auto"/>
              <w:bottom w:val="single" w:sz="4" w:space="0" w:color="auto"/>
              <w:right w:val="single" w:sz="4" w:space="0" w:color="auto"/>
            </w:tcBorders>
            <w:hideMark/>
          </w:tcPr>
          <w:p w:rsidR="00EB38B7" w:rsidRPr="00E9073B" w:rsidRDefault="00EB38B7" w:rsidP="00EB38B7">
            <w:pPr>
              <w:spacing w:after="0" w:line="240" w:lineRule="auto"/>
              <w:rPr>
                <w:rFonts w:ascii="Arial" w:eastAsia="Times New Roman" w:hAnsi="Arial" w:cs="Arial"/>
                <w:b/>
                <w:bCs/>
                <w:sz w:val="24"/>
                <w:szCs w:val="24"/>
                <w:lang w:eastAsia="en-GB"/>
              </w:rPr>
            </w:pPr>
          </w:p>
          <w:p w:rsidR="00EB38B7" w:rsidRPr="00E9073B" w:rsidRDefault="00EB38B7" w:rsidP="00EB38B7">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rsidR="00EB38B7" w:rsidRPr="00E9073B" w:rsidRDefault="00EB38B7" w:rsidP="00EB38B7">
            <w:pPr>
              <w:spacing w:after="0" w:line="240" w:lineRule="auto"/>
              <w:rPr>
                <w:rFonts w:ascii="Arial" w:eastAsia="Times New Roman" w:hAnsi="Arial" w:cs="Arial"/>
                <w:b/>
                <w:bCs/>
                <w:sz w:val="24"/>
                <w:szCs w:val="24"/>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rsidR="00FF7D8A" w:rsidRPr="00E9073B" w:rsidRDefault="00EB38B7" w:rsidP="00F23E0A">
            <w:pPr>
              <w:spacing w:after="0" w:line="240" w:lineRule="auto"/>
              <w:rPr>
                <w:rFonts w:ascii="Arial" w:eastAsia="Times New Roman" w:hAnsi="Arial" w:cs="Arial"/>
                <w:sz w:val="24"/>
                <w:szCs w:val="24"/>
                <w:lang w:eastAsia="en-GB"/>
              </w:rPr>
            </w:pPr>
            <w:r w:rsidRPr="00E9073B">
              <w:rPr>
                <w:rFonts w:ascii="Arial" w:eastAsia="Times New Roman" w:hAnsi="Arial" w:cs="Arial"/>
                <w:sz w:val="24"/>
                <w:szCs w:val="24"/>
                <w:lang w:eastAsia="en-GB"/>
              </w:rPr>
              <w:t xml:space="preserve"> </w:t>
            </w:r>
          </w:p>
          <w:p w:rsidR="00DD4391" w:rsidRDefault="00DD4391" w:rsidP="00DD4391">
            <w:pPr>
              <w:spacing w:after="0" w:line="240" w:lineRule="auto"/>
              <w:rPr>
                <w:rFonts w:ascii="Arial" w:eastAsia="Times New Roman" w:hAnsi="Arial" w:cs="Arial"/>
                <w:lang w:eastAsia="en-GB"/>
              </w:rPr>
            </w:pPr>
            <w:r>
              <w:rPr>
                <w:rFonts w:ascii="Arial" w:eastAsia="Times New Roman" w:hAnsi="Arial" w:cs="Arial"/>
                <w:lang w:eastAsia="en-GB"/>
              </w:rPr>
              <w:t>For information and discussion</w:t>
            </w: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C13A74" w:rsidRPr="00E9073B" w:rsidRDefault="00C13A74" w:rsidP="00EB38B7">
            <w:pPr>
              <w:spacing w:after="0" w:line="240" w:lineRule="auto"/>
              <w:rPr>
                <w:rFonts w:ascii="Arial" w:eastAsia="Times New Roman" w:hAnsi="Arial" w:cs="Arial"/>
                <w:sz w:val="24"/>
                <w:szCs w:val="24"/>
                <w:lang w:eastAsia="en-GB"/>
              </w:rPr>
            </w:pPr>
          </w:p>
          <w:p w:rsidR="00EB38B7" w:rsidRPr="00E9073B" w:rsidRDefault="00EB38B7" w:rsidP="00EB38B7">
            <w:pPr>
              <w:spacing w:after="0" w:line="240" w:lineRule="auto"/>
              <w:rPr>
                <w:rFonts w:ascii="Arial" w:eastAsia="Times New Roman" w:hAnsi="Arial" w:cs="Arial"/>
                <w:sz w:val="24"/>
                <w:szCs w:val="24"/>
                <w:lang w:eastAsia="en-GB"/>
              </w:rPr>
            </w:pPr>
          </w:p>
          <w:p w:rsidR="00EB38B7" w:rsidRPr="00E9073B" w:rsidRDefault="00EB38B7" w:rsidP="00EB38B7">
            <w:pPr>
              <w:spacing w:after="0" w:line="240" w:lineRule="auto"/>
              <w:rPr>
                <w:rFonts w:ascii="Arial" w:eastAsia="Times New Roman" w:hAnsi="Arial" w:cs="Arial"/>
                <w:sz w:val="24"/>
                <w:szCs w:val="24"/>
                <w:lang w:eastAsia="en-GB"/>
              </w:rPr>
            </w:pPr>
          </w:p>
          <w:p w:rsidR="00EB38B7" w:rsidRPr="00E9073B" w:rsidRDefault="00EB38B7" w:rsidP="00EB38B7">
            <w:pPr>
              <w:spacing w:after="0" w:line="240" w:lineRule="auto"/>
              <w:rPr>
                <w:rFonts w:ascii="Arial" w:eastAsia="Times New Roman" w:hAnsi="Arial" w:cs="Arial"/>
                <w:sz w:val="24"/>
                <w:szCs w:val="24"/>
                <w:lang w:eastAsia="en-GB"/>
              </w:rPr>
            </w:pPr>
          </w:p>
          <w:p w:rsidR="00EB38B7" w:rsidRPr="00E9073B" w:rsidRDefault="00EB38B7" w:rsidP="00EB38B7">
            <w:pPr>
              <w:spacing w:after="0" w:line="240" w:lineRule="auto"/>
              <w:rPr>
                <w:rFonts w:ascii="Arial" w:eastAsia="Times New Roman" w:hAnsi="Arial" w:cs="Arial"/>
                <w:sz w:val="24"/>
                <w:szCs w:val="24"/>
                <w:lang w:eastAsia="en-GB"/>
              </w:rPr>
            </w:pPr>
          </w:p>
          <w:p w:rsidR="00EB38B7" w:rsidRPr="00E9073B" w:rsidRDefault="00EB38B7" w:rsidP="00EB38B7">
            <w:pPr>
              <w:spacing w:after="0" w:line="240" w:lineRule="auto"/>
              <w:rPr>
                <w:rFonts w:ascii="Arial" w:eastAsia="Times New Roman" w:hAnsi="Arial" w:cs="Arial"/>
                <w:sz w:val="24"/>
                <w:szCs w:val="24"/>
                <w:lang w:eastAsia="en-GB"/>
              </w:rPr>
            </w:pPr>
          </w:p>
        </w:tc>
      </w:tr>
      <w:tr w:rsidR="00EB38B7" w:rsidRPr="00EB38B7" w:rsidTr="00502A96">
        <w:trPr>
          <w:cantSplit/>
          <w:trHeight w:val="901"/>
        </w:trPr>
        <w:tc>
          <w:tcPr>
            <w:tcW w:w="3012" w:type="dxa"/>
            <w:vMerge w:val="restart"/>
            <w:tcBorders>
              <w:top w:val="single" w:sz="4" w:space="0" w:color="auto"/>
              <w:left w:val="single" w:sz="4" w:space="0" w:color="auto"/>
              <w:right w:val="single" w:sz="4" w:space="0" w:color="auto"/>
            </w:tcBorders>
            <w:hideMark/>
          </w:tcPr>
          <w:p w:rsidR="00EB38B7" w:rsidRPr="00EB38B7" w:rsidRDefault="00EB38B7" w:rsidP="00EB38B7">
            <w:pPr>
              <w:spacing w:after="0" w:line="240" w:lineRule="auto"/>
              <w:rPr>
                <w:rFonts w:ascii="Arial" w:eastAsia="Times New Roman" w:hAnsi="Arial" w:cs="Arial"/>
                <w:b/>
                <w:bCs/>
                <w:sz w:val="14"/>
                <w:szCs w:val="14"/>
                <w:lang w:eastAsia="en-GB"/>
              </w:rPr>
            </w:pPr>
          </w:p>
          <w:p w:rsidR="00EB38B7" w:rsidRPr="00E9073B" w:rsidRDefault="00EB38B7" w:rsidP="005C5E19">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r w:rsidR="00E9073B">
              <w:rPr>
                <w:rFonts w:ascii="Arial" w:eastAsia="Times New Roman" w:hAnsi="Arial" w:cs="Arial"/>
                <w:bCs/>
                <w:sz w:val="24"/>
                <w:szCs w:val="24"/>
                <w:lang w:eastAsia="en-GB"/>
              </w:rPr>
              <w:t xml:space="preserve">please indicate which of the five </w:t>
            </w:r>
            <w:r w:rsidRPr="00E9073B">
              <w:rPr>
                <w:rFonts w:ascii="Arial" w:eastAsia="Times New Roman" w:hAnsi="Arial" w:cs="Arial"/>
                <w:bCs/>
                <w:sz w:val="24"/>
                <w:szCs w:val="24"/>
                <w:lang w:eastAsia="en-GB"/>
              </w:rPr>
              <w:t>Ps is releva</w:t>
            </w:r>
            <w:r w:rsidR="00E9073B">
              <w:rPr>
                <w:rFonts w:ascii="Arial" w:eastAsia="Times New Roman" w:hAnsi="Arial" w:cs="Arial"/>
                <w:bCs/>
                <w:sz w:val="24"/>
                <w:szCs w:val="24"/>
                <w:lang w:eastAsia="en-GB"/>
              </w:rPr>
              <w:t>nt to the subject of the report</w:t>
            </w:r>
          </w:p>
        </w:tc>
        <w:tc>
          <w:tcPr>
            <w:tcW w:w="1417" w:type="dxa"/>
            <w:tcBorders>
              <w:top w:val="single" w:sz="4" w:space="0" w:color="auto"/>
              <w:left w:val="single" w:sz="4" w:space="0" w:color="auto"/>
              <w:bottom w:val="single" w:sz="4" w:space="0" w:color="auto"/>
              <w:right w:val="single" w:sz="4" w:space="0" w:color="auto"/>
            </w:tcBorders>
          </w:tcPr>
          <w:p w:rsidR="00EB38B7" w:rsidRPr="00E9073B" w:rsidRDefault="00502A96" w:rsidP="00502A96">
            <w:pPr>
              <w:contextualSpacing/>
              <w:rPr>
                <w:rFonts w:ascii="Arial" w:eastAsia="Times New Roman" w:hAnsi="Arial" w:cs="Arial"/>
                <w:i/>
                <w:color w:val="005EB8"/>
                <w:sz w:val="24"/>
                <w:lang w:eastAsia="en-GB"/>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4AD725D9" wp14:editId="3AD3BFDD">
                  <wp:simplePos x="0" y="0"/>
                  <wp:positionH relativeFrom="column">
                    <wp:posOffset>103860</wp:posOffset>
                  </wp:positionH>
                  <wp:positionV relativeFrom="paragraph">
                    <wp:posOffset>38912</wp:posOffset>
                  </wp:positionV>
                  <wp:extent cx="547173" cy="555955"/>
                  <wp:effectExtent l="0" t="0" r="5715" b="0"/>
                  <wp:wrapNone/>
                  <wp:docPr id="11" name="Picture 11"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8"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502A96" w:rsidRDefault="00502A96" w:rsidP="00502A96">
            <w:pPr>
              <w:contextualSpacing/>
              <w:rPr>
                <w:rFonts w:ascii="Arial" w:eastAsia="Times New Roman" w:hAnsi="Arial" w:cs="Arial"/>
                <w:color w:val="005EB8"/>
                <w:sz w:val="24"/>
                <w:lang w:eastAsia="en-GB"/>
              </w:rPr>
            </w:pPr>
          </w:p>
          <w:p w:rsidR="00502A96" w:rsidRDefault="00502A96" w:rsidP="00502A96">
            <w:pPr>
              <w:contextualSpacing/>
              <w:rPr>
                <w:rFonts w:ascii="Arial" w:eastAsia="Times New Roman" w:hAnsi="Arial" w:cs="Arial"/>
                <w:color w:val="005EB8"/>
                <w:sz w:val="24"/>
                <w:lang w:eastAsia="en-GB"/>
              </w:rPr>
            </w:pPr>
          </w:p>
          <w:p w:rsidR="00EB38B7" w:rsidRPr="00502A96" w:rsidRDefault="00EB38B7" w:rsidP="00502A96">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Patients</w:t>
            </w:r>
          </w:p>
        </w:tc>
        <w:tc>
          <w:tcPr>
            <w:tcW w:w="1559" w:type="dxa"/>
            <w:gridSpan w:val="2"/>
            <w:tcBorders>
              <w:top w:val="single" w:sz="4" w:space="0" w:color="auto"/>
              <w:left w:val="single" w:sz="4" w:space="0" w:color="auto"/>
              <w:bottom w:val="single" w:sz="4" w:space="0" w:color="auto"/>
              <w:right w:val="single" w:sz="4" w:space="0" w:color="auto"/>
            </w:tcBorders>
          </w:tcPr>
          <w:p w:rsidR="00EB38B7" w:rsidRPr="00E9073B" w:rsidRDefault="00502A96" w:rsidP="00502A96">
            <w:pPr>
              <w:contextualSpacing/>
              <w:rPr>
                <w:rFonts w:ascii="Arial" w:eastAsia="Times New Roman" w:hAnsi="Arial" w:cs="Arial"/>
                <w:iCs/>
                <w:color w:val="005EB8"/>
                <w:sz w:val="24"/>
                <w:lang w:eastAsia="en-GB"/>
              </w:rPr>
            </w:pPr>
            <w:r>
              <w:rPr>
                <w:rFonts w:ascii="Arial" w:eastAsia="Times New Roman" w:hAnsi="Arial" w:cs="Arial"/>
                <w:noProof/>
                <w:sz w:val="24"/>
                <w:szCs w:val="24"/>
                <w:lang w:eastAsia="en-GB"/>
              </w:rPr>
              <w:drawing>
                <wp:anchor distT="0" distB="0" distL="114300" distR="114300" simplePos="0" relativeHeight="251662336" behindDoc="0" locked="0" layoutInCell="1" allowOverlap="1" wp14:anchorId="68744671" wp14:editId="4FBF4FFD">
                  <wp:simplePos x="0" y="0"/>
                  <wp:positionH relativeFrom="column">
                    <wp:posOffset>157480</wp:posOffset>
                  </wp:positionH>
                  <wp:positionV relativeFrom="paragraph">
                    <wp:posOffset>51435</wp:posOffset>
                  </wp:positionV>
                  <wp:extent cx="542925" cy="526919"/>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1312" behindDoc="0" locked="0" layoutInCell="1" allowOverlap="1" wp14:anchorId="796C8F2C" wp14:editId="54BD8B43">
                  <wp:simplePos x="0" y="0"/>
                  <wp:positionH relativeFrom="column">
                    <wp:posOffset>5441950</wp:posOffset>
                  </wp:positionH>
                  <wp:positionV relativeFrom="paragraph">
                    <wp:posOffset>2364105</wp:posOffset>
                  </wp:positionV>
                  <wp:extent cx="1286510" cy="1247775"/>
                  <wp:effectExtent l="0" t="0" r="0" b="9525"/>
                  <wp:wrapNone/>
                  <wp:docPr id="12" name="Picture 12"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8">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EB38B7" w:rsidRPr="00502A96" w:rsidRDefault="00502A96" w:rsidP="00502A96">
            <w:pPr>
              <w:contextualSpacing/>
              <w:rPr>
                <w:rFonts w:ascii="Arial" w:eastAsia="Times New Roman" w:hAnsi="Arial" w:cs="Arial"/>
                <w:b/>
                <w:iCs/>
                <w:color w:val="005EB8"/>
                <w:sz w:val="24"/>
                <w:lang w:eastAsia="en-GB"/>
              </w:rPr>
            </w:pPr>
            <w:r>
              <w:rPr>
                <w:rFonts w:ascii="Arial" w:eastAsia="Times New Roman" w:hAnsi="Arial" w:cs="Arial"/>
                <w:iCs/>
                <w:color w:val="005EB8"/>
                <w:sz w:val="24"/>
                <w:lang w:eastAsia="en-GB"/>
              </w:rPr>
              <w:br/>
            </w:r>
            <w:r>
              <w:rPr>
                <w:rFonts w:ascii="Arial" w:eastAsia="Times New Roman" w:hAnsi="Arial" w:cs="Arial"/>
                <w:iCs/>
                <w:color w:val="005EB8"/>
                <w:sz w:val="24"/>
                <w:lang w:eastAsia="en-GB"/>
              </w:rPr>
              <w:br/>
            </w:r>
            <w:r w:rsidR="00EB38B7" w:rsidRPr="00502A96">
              <w:rPr>
                <w:rFonts w:ascii="Arial" w:eastAsia="Times New Roman" w:hAnsi="Arial" w:cs="Arial"/>
                <w:b/>
                <w:iCs/>
                <w:color w:val="005EB8"/>
                <w:sz w:val="24"/>
                <w:lang w:eastAsia="en-GB"/>
              </w:rPr>
              <w:t>People</w:t>
            </w:r>
          </w:p>
        </w:tc>
        <w:tc>
          <w:tcPr>
            <w:tcW w:w="1775" w:type="dxa"/>
            <w:gridSpan w:val="3"/>
            <w:tcBorders>
              <w:top w:val="single" w:sz="4" w:space="0" w:color="auto"/>
              <w:left w:val="single" w:sz="4" w:space="0" w:color="auto"/>
              <w:bottom w:val="single" w:sz="4" w:space="0" w:color="auto"/>
              <w:right w:val="single" w:sz="4" w:space="0" w:color="auto"/>
            </w:tcBorders>
          </w:tcPr>
          <w:p w:rsidR="00EB38B7" w:rsidRDefault="00502A96" w:rsidP="00502A96">
            <w:pPr>
              <w:contextualSpacing/>
              <w:rPr>
                <w:rFonts w:ascii="Arial" w:eastAsia="Times New Roman" w:hAnsi="Arial" w:cs="Arial"/>
                <w:noProof/>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069461FC" wp14:editId="057FAF75">
                  <wp:simplePos x="0" y="0"/>
                  <wp:positionH relativeFrom="column">
                    <wp:posOffset>243840</wp:posOffset>
                  </wp:positionH>
                  <wp:positionV relativeFrom="paragraph">
                    <wp:posOffset>33020</wp:posOffset>
                  </wp:positionV>
                  <wp:extent cx="552450" cy="5581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rsidR="00502A96" w:rsidRDefault="00502A96" w:rsidP="00502A96">
            <w:pPr>
              <w:contextualSpacing/>
              <w:rPr>
                <w:rFonts w:ascii="Arial" w:eastAsia="Times New Roman" w:hAnsi="Arial" w:cs="Arial"/>
                <w:noProof/>
                <w:color w:val="005EB8"/>
                <w:sz w:val="24"/>
                <w:lang w:eastAsia="en-GB"/>
              </w:rPr>
            </w:pPr>
          </w:p>
          <w:p w:rsidR="00502A96" w:rsidRPr="00E9073B" w:rsidRDefault="00502A96" w:rsidP="00502A96">
            <w:pPr>
              <w:contextualSpacing/>
              <w:rPr>
                <w:rFonts w:ascii="Arial" w:eastAsia="Times New Roman" w:hAnsi="Arial" w:cs="Arial"/>
                <w:color w:val="005EB8"/>
                <w:sz w:val="24"/>
                <w:lang w:eastAsia="en-GB"/>
              </w:rPr>
            </w:pPr>
          </w:p>
          <w:p w:rsidR="00EB38B7" w:rsidRPr="00502A96" w:rsidRDefault="00EB38B7" w:rsidP="00502A96">
            <w:pPr>
              <w:contextualSpacing/>
              <w:rPr>
                <w:rFonts w:ascii="Arial" w:eastAsia="Times New Roman" w:hAnsi="Arial" w:cs="Arial"/>
                <w:b/>
                <w:color w:val="005EB8"/>
                <w:sz w:val="24"/>
                <w:lang w:eastAsia="en-GB"/>
              </w:rPr>
            </w:pPr>
            <w:r w:rsidRPr="00502A96">
              <w:rPr>
                <w:rFonts w:ascii="Arial" w:eastAsia="Times New Roman" w:hAnsi="Arial" w:cs="Arial"/>
                <w:b/>
                <w:color w:val="005EB8"/>
                <w:sz w:val="24"/>
                <w:lang w:eastAsia="en-GB"/>
              </w:rPr>
              <w:t>Performance</w:t>
            </w:r>
          </w:p>
        </w:tc>
        <w:tc>
          <w:tcPr>
            <w:tcW w:w="1344" w:type="dxa"/>
            <w:gridSpan w:val="3"/>
            <w:tcBorders>
              <w:top w:val="single" w:sz="4" w:space="0" w:color="auto"/>
              <w:left w:val="single" w:sz="4" w:space="0" w:color="auto"/>
              <w:bottom w:val="single" w:sz="4" w:space="0" w:color="auto"/>
              <w:right w:val="single" w:sz="4" w:space="0" w:color="auto"/>
            </w:tcBorders>
          </w:tcPr>
          <w:p w:rsidR="00EB38B7" w:rsidRPr="00E9073B" w:rsidRDefault="00502A96" w:rsidP="00502A96">
            <w:pPr>
              <w:contextualSpacing/>
              <w:rPr>
                <w:rFonts w:ascii="Arial" w:eastAsia="Times New Roman" w:hAnsi="Arial" w:cs="Arial"/>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4384" behindDoc="0" locked="0" layoutInCell="1" allowOverlap="1" wp14:anchorId="0E7AC3BE" wp14:editId="16B41842">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rsidR="00502A96" w:rsidRDefault="00502A96" w:rsidP="00502A96">
            <w:pPr>
              <w:contextualSpacing/>
              <w:rPr>
                <w:rFonts w:ascii="Arial" w:eastAsia="Times New Roman" w:hAnsi="Arial" w:cs="Arial"/>
                <w:color w:val="005EB8"/>
                <w:sz w:val="24"/>
                <w:lang w:eastAsia="en-GB"/>
              </w:rPr>
            </w:pPr>
          </w:p>
          <w:p w:rsidR="00502A96" w:rsidRDefault="00502A96" w:rsidP="00502A96">
            <w:pPr>
              <w:contextualSpacing/>
              <w:rPr>
                <w:rFonts w:ascii="Arial" w:eastAsia="Times New Roman" w:hAnsi="Arial" w:cs="Arial"/>
                <w:color w:val="005EB8"/>
                <w:sz w:val="24"/>
                <w:lang w:eastAsia="en-GB"/>
              </w:rPr>
            </w:pPr>
          </w:p>
          <w:p w:rsidR="00EB38B7" w:rsidRPr="00502A96" w:rsidRDefault="00EB38B7" w:rsidP="00502A96">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Places</w:t>
            </w:r>
          </w:p>
        </w:tc>
        <w:tc>
          <w:tcPr>
            <w:tcW w:w="1809" w:type="dxa"/>
            <w:gridSpan w:val="2"/>
            <w:tcBorders>
              <w:top w:val="single" w:sz="4" w:space="0" w:color="auto"/>
              <w:left w:val="single" w:sz="4" w:space="0" w:color="auto"/>
              <w:bottom w:val="single" w:sz="4" w:space="0" w:color="auto"/>
              <w:right w:val="single" w:sz="4" w:space="0" w:color="auto"/>
            </w:tcBorders>
          </w:tcPr>
          <w:p w:rsidR="00EB38B7" w:rsidRPr="00E9073B" w:rsidRDefault="005B7A1D" w:rsidP="00502A96">
            <w:pPr>
              <w:contextualSpacing/>
              <w:rPr>
                <w:rFonts w:ascii="Arial" w:eastAsia="Times New Roman" w:hAnsi="Arial" w:cs="Arial"/>
                <w:color w:val="005EB8"/>
                <w:sz w:val="24"/>
                <w:lang w:eastAsia="en-GB"/>
              </w:rPr>
            </w:pPr>
            <w:r>
              <w:rPr>
                <w:rFonts w:ascii="Arial" w:eastAsia="Times New Roman" w:hAnsi="Arial" w:cs="Arial"/>
                <w:noProof/>
                <w:sz w:val="24"/>
                <w:szCs w:val="24"/>
                <w:lang w:eastAsia="en-GB"/>
              </w:rPr>
              <w:drawing>
                <wp:anchor distT="0" distB="0" distL="114300" distR="114300" simplePos="0" relativeHeight="251668480" behindDoc="0" locked="0" layoutInCell="1" allowOverlap="1" wp14:anchorId="7F8F2760" wp14:editId="31E67966">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sidR="00502A96">
              <w:rPr>
                <w:rFonts w:ascii="Times New Roman" w:hAnsi="Times New Roman"/>
                <w:noProof/>
                <w:sz w:val="24"/>
                <w:szCs w:val="24"/>
                <w:lang w:eastAsia="en-GB"/>
              </w:rPr>
              <w:drawing>
                <wp:anchor distT="36576" distB="36576" distL="36576" distR="36576" simplePos="0" relativeHeight="251666432" behindDoc="0" locked="0" layoutInCell="1" allowOverlap="1">
                  <wp:simplePos x="0" y="0"/>
                  <wp:positionH relativeFrom="column">
                    <wp:posOffset>2640965</wp:posOffset>
                  </wp:positionH>
                  <wp:positionV relativeFrom="paragraph">
                    <wp:posOffset>2167255</wp:posOffset>
                  </wp:positionV>
                  <wp:extent cx="1104265" cy="1131570"/>
                  <wp:effectExtent l="0" t="0" r="0" b="0"/>
                  <wp:wrapNone/>
                  <wp:docPr id="17" name="Picture 1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8">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EB38B7" w:rsidRPr="00502A96" w:rsidRDefault="00502A96" w:rsidP="00502A96">
            <w:pPr>
              <w:contextualSpacing/>
              <w:rPr>
                <w:rFonts w:ascii="Arial" w:eastAsia="Times New Roman" w:hAnsi="Arial" w:cs="Arial"/>
                <w:b/>
                <w:i/>
                <w:color w:val="005EB8"/>
                <w:sz w:val="24"/>
                <w:lang w:eastAsia="en-GB"/>
              </w:rPr>
            </w:pPr>
            <w:r>
              <w:rPr>
                <w:rFonts w:ascii="Arial" w:eastAsia="Times New Roman" w:hAnsi="Arial" w:cs="Arial"/>
                <w:color w:val="005EB8"/>
                <w:sz w:val="24"/>
                <w:lang w:eastAsia="en-GB"/>
              </w:rPr>
              <w:br/>
            </w:r>
            <w:r>
              <w:rPr>
                <w:rFonts w:ascii="Arial" w:eastAsia="Times New Roman" w:hAnsi="Arial" w:cs="Arial"/>
                <w:color w:val="005EB8"/>
                <w:sz w:val="24"/>
                <w:lang w:eastAsia="en-GB"/>
              </w:rPr>
              <w:br/>
            </w:r>
            <w:r w:rsidR="00EB38B7" w:rsidRPr="00502A96">
              <w:rPr>
                <w:rFonts w:ascii="Arial" w:eastAsia="Times New Roman" w:hAnsi="Arial" w:cs="Arial"/>
                <w:b/>
                <w:color w:val="005EB8"/>
                <w:sz w:val="24"/>
                <w:lang w:eastAsia="en-GB"/>
              </w:rPr>
              <w:t>Pounds</w:t>
            </w:r>
          </w:p>
        </w:tc>
      </w:tr>
      <w:tr w:rsidR="00EB38B7" w:rsidRPr="00EB38B7" w:rsidTr="00502A96">
        <w:trPr>
          <w:cantSplit/>
          <w:trHeight w:val="170"/>
        </w:trPr>
        <w:tc>
          <w:tcPr>
            <w:tcW w:w="3012" w:type="dxa"/>
            <w:vMerge/>
            <w:tcBorders>
              <w:left w:val="single" w:sz="4" w:space="0" w:color="auto"/>
              <w:bottom w:val="single" w:sz="4" w:space="0" w:color="auto"/>
              <w:right w:val="single" w:sz="4" w:space="0" w:color="auto"/>
            </w:tcBorders>
          </w:tcPr>
          <w:p w:rsidR="00EB38B7" w:rsidRPr="00EB38B7" w:rsidRDefault="00EB38B7" w:rsidP="00EB38B7">
            <w:pPr>
              <w:spacing w:after="0" w:line="240" w:lineRule="auto"/>
              <w:rPr>
                <w:rFonts w:ascii="Arial" w:eastAsia="Times New Roman" w:hAnsi="Arial" w:cs="Arial"/>
                <w:b/>
                <w:bCs/>
                <w:lang w:eastAsia="en-GB"/>
              </w:rPr>
            </w:pPr>
          </w:p>
        </w:tc>
        <w:tc>
          <w:tcPr>
            <w:tcW w:w="1417" w:type="dxa"/>
            <w:tcBorders>
              <w:top w:val="single" w:sz="4" w:space="0" w:color="auto"/>
              <w:left w:val="single" w:sz="4" w:space="0" w:color="auto"/>
              <w:bottom w:val="single" w:sz="4" w:space="0" w:color="auto"/>
              <w:right w:val="single" w:sz="4" w:space="0" w:color="auto"/>
            </w:tcBorders>
          </w:tcPr>
          <w:p w:rsidR="00EB38B7" w:rsidRPr="00EB38B7" w:rsidRDefault="00A63711"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559" w:type="dxa"/>
            <w:gridSpan w:val="2"/>
            <w:tcBorders>
              <w:top w:val="single" w:sz="4" w:space="0" w:color="auto"/>
              <w:left w:val="single" w:sz="4" w:space="0" w:color="auto"/>
              <w:bottom w:val="single" w:sz="4" w:space="0" w:color="auto"/>
              <w:right w:val="single" w:sz="4" w:space="0" w:color="auto"/>
            </w:tcBorders>
          </w:tcPr>
          <w:p w:rsidR="00EB38B7" w:rsidRPr="00EB38B7" w:rsidRDefault="001835F2"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775" w:type="dxa"/>
            <w:gridSpan w:val="3"/>
            <w:tcBorders>
              <w:top w:val="single" w:sz="4" w:space="0" w:color="auto"/>
              <w:left w:val="single" w:sz="4" w:space="0" w:color="auto"/>
              <w:bottom w:val="single" w:sz="4" w:space="0" w:color="auto"/>
              <w:right w:val="single" w:sz="4" w:space="0" w:color="auto"/>
            </w:tcBorders>
          </w:tcPr>
          <w:p w:rsidR="00EB38B7" w:rsidRPr="00EB38B7" w:rsidRDefault="007615E6"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344" w:type="dxa"/>
            <w:gridSpan w:val="3"/>
            <w:tcBorders>
              <w:top w:val="single" w:sz="4" w:space="0" w:color="auto"/>
              <w:left w:val="single" w:sz="4" w:space="0" w:color="auto"/>
              <w:bottom w:val="single" w:sz="4" w:space="0" w:color="auto"/>
              <w:right w:val="single" w:sz="4" w:space="0" w:color="auto"/>
            </w:tcBorders>
          </w:tcPr>
          <w:p w:rsidR="00EB38B7" w:rsidRPr="00EB38B7" w:rsidRDefault="00F23E0A"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809" w:type="dxa"/>
            <w:gridSpan w:val="2"/>
            <w:tcBorders>
              <w:top w:val="single" w:sz="4" w:space="0" w:color="auto"/>
              <w:left w:val="single" w:sz="4" w:space="0" w:color="auto"/>
              <w:bottom w:val="single" w:sz="4" w:space="0" w:color="auto"/>
              <w:right w:val="single" w:sz="4" w:space="0" w:color="auto"/>
            </w:tcBorders>
          </w:tcPr>
          <w:p w:rsidR="00EB38B7" w:rsidRPr="00EB38B7" w:rsidRDefault="007615E6"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r>
      <w:tr w:rsidR="00EB38B7" w:rsidRPr="00EB38B7" w:rsidTr="00E9073B">
        <w:trPr>
          <w:cantSplit/>
        </w:trPr>
        <w:tc>
          <w:tcPr>
            <w:tcW w:w="3012" w:type="dxa"/>
            <w:tcBorders>
              <w:top w:val="single" w:sz="4" w:space="0" w:color="auto"/>
              <w:left w:val="nil"/>
              <w:bottom w:val="single" w:sz="4" w:space="0" w:color="auto"/>
              <w:right w:val="nil"/>
            </w:tcBorders>
          </w:tcPr>
          <w:p w:rsidR="00EB38B7" w:rsidRPr="00EB38B7" w:rsidRDefault="00EB38B7" w:rsidP="00EB38B7">
            <w:pPr>
              <w:spacing w:after="0" w:line="240" w:lineRule="auto"/>
              <w:rPr>
                <w:rFonts w:ascii="Arial" w:eastAsia="Times New Roman" w:hAnsi="Arial" w:cs="Arial"/>
                <w:b/>
                <w:bCs/>
                <w:sz w:val="18"/>
                <w:szCs w:val="18"/>
                <w:lang w:eastAsia="en-GB"/>
              </w:rPr>
            </w:pPr>
          </w:p>
        </w:tc>
        <w:tc>
          <w:tcPr>
            <w:tcW w:w="7904" w:type="dxa"/>
            <w:gridSpan w:val="11"/>
            <w:tcBorders>
              <w:top w:val="single" w:sz="4" w:space="0" w:color="auto"/>
              <w:left w:val="nil"/>
              <w:bottom w:val="single" w:sz="4" w:space="0" w:color="auto"/>
              <w:right w:val="nil"/>
            </w:tcBorders>
          </w:tcPr>
          <w:p w:rsidR="00EB38B7" w:rsidRPr="00EB38B7" w:rsidRDefault="00EB38B7" w:rsidP="00EB38B7">
            <w:pPr>
              <w:spacing w:after="0" w:line="240" w:lineRule="auto"/>
              <w:rPr>
                <w:rFonts w:ascii="Arial" w:eastAsia="Times New Roman" w:hAnsi="Arial" w:cs="Arial"/>
                <w:bCs/>
                <w:sz w:val="18"/>
                <w:szCs w:val="18"/>
                <w:lang w:eastAsia="en-GB"/>
              </w:rPr>
            </w:pPr>
          </w:p>
        </w:tc>
      </w:tr>
      <w:tr w:rsidR="00EB38B7" w:rsidRPr="00EB38B7" w:rsidTr="00E9073B">
        <w:trPr>
          <w:cantSplit/>
          <w:trHeight w:hRule="exact" w:val="993"/>
        </w:trPr>
        <w:tc>
          <w:tcPr>
            <w:tcW w:w="3012" w:type="dxa"/>
            <w:tcBorders>
              <w:top w:val="single" w:sz="4" w:space="0" w:color="auto"/>
              <w:left w:val="single" w:sz="4" w:space="0" w:color="auto"/>
              <w:bottom w:val="single" w:sz="4" w:space="0" w:color="auto"/>
              <w:right w:val="single" w:sz="4" w:space="0" w:color="auto"/>
            </w:tcBorders>
            <w:hideMark/>
          </w:tcPr>
          <w:p w:rsidR="00EB38B7" w:rsidRPr="00E9073B" w:rsidRDefault="00EB38B7" w:rsidP="00EB38B7">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904" w:type="dxa"/>
            <w:gridSpan w:val="11"/>
            <w:tcBorders>
              <w:top w:val="single" w:sz="4" w:space="0" w:color="auto"/>
              <w:left w:val="single" w:sz="4" w:space="0" w:color="auto"/>
              <w:bottom w:val="single" w:sz="4" w:space="0" w:color="auto"/>
              <w:right w:val="single" w:sz="4" w:space="0" w:color="auto"/>
            </w:tcBorders>
          </w:tcPr>
          <w:p w:rsidR="00EB38B7" w:rsidRPr="00EB38B7" w:rsidRDefault="00EB38B7" w:rsidP="00EB38B7">
            <w:pPr>
              <w:spacing w:after="0" w:line="240" w:lineRule="auto"/>
              <w:rPr>
                <w:rFonts w:ascii="Arial" w:eastAsia="Times New Roman" w:hAnsi="Arial" w:cs="Arial"/>
                <w:bCs/>
                <w:sz w:val="18"/>
                <w:szCs w:val="18"/>
                <w:lang w:eastAsia="en-GB"/>
              </w:rPr>
            </w:pPr>
          </w:p>
          <w:p w:rsidR="0094599B" w:rsidRPr="00726008" w:rsidRDefault="0094599B" w:rsidP="0094599B">
            <w:pPr>
              <w:spacing w:after="0" w:line="240" w:lineRule="auto"/>
              <w:rPr>
                <w:rFonts w:ascii="Arial" w:eastAsia="Times New Roman" w:hAnsi="Arial" w:cs="Arial"/>
                <w:bCs/>
                <w:lang w:eastAsia="en-GB"/>
              </w:rPr>
            </w:pPr>
            <w:r>
              <w:rPr>
                <w:rFonts w:ascii="Arial" w:eastAsia="Times New Roman" w:hAnsi="Arial" w:cs="Arial"/>
                <w:bCs/>
                <w:lang w:eastAsia="en-GB"/>
              </w:rPr>
              <w:t>Equality and Inclusion Steering Group</w:t>
            </w:r>
          </w:p>
          <w:p w:rsidR="00EB38B7" w:rsidRPr="00EB38B7" w:rsidRDefault="00EB38B7" w:rsidP="00EB38B7">
            <w:pPr>
              <w:spacing w:after="0" w:line="240" w:lineRule="auto"/>
              <w:rPr>
                <w:rFonts w:ascii="Arial" w:eastAsia="Times New Roman" w:hAnsi="Arial" w:cs="Arial"/>
                <w:bCs/>
                <w:sz w:val="18"/>
                <w:szCs w:val="18"/>
                <w:lang w:eastAsia="en-GB"/>
              </w:rPr>
            </w:pPr>
          </w:p>
          <w:p w:rsidR="00EB38B7" w:rsidRPr="00EB38B7" w:rsidRDefault="00EB38B7" w:rsidP="00EB38B7">
            <w:pPr>
              <w:spacing w:after="0" w:line="240" w:lineRule="auto"/>
              <w:rPr>
                <w:rFonts w:ascii="Arial" w:eastAsia="Times New Roman" w:hAnsi="Arial" w:cs="Arial"/>
                <w:bCs/>
                <w:sz w:val="18"/>
                <w:szCs w:val="18"/>
                <w:lang w:eastAsia="en-GB"/>
              </w:rPr>
            </w:pPr>
          </w:p>
          <w:p w:rsidR="00EB38B7" w:rsidRPr="00EB38B7" w:rsidRDefault="00EB38B7" w:rsidP="00EB38B7">
            <w:pPr>
              <w:spacing w:after="0" w:line="240" w:lineRule="auto"/>
              <w:rPr>
                <w:rFonts w:ascii="Arial" w:eastAsia="Times New Roman" w:hAnsi="Arial" w:cs="Arial"/>
                <w:bCs/>
                <w:sz w:val="18"/>
                <w:szCs w:val="18"/>
                <w:lang w:eastAsia="en-GB"/>
              </w:rPr>
            </w:pPr>
          </w:p>
          <w:p w:rsidR="00EB38B7" w:rsidRPr="00EB38B7" w:rsidRDefault="00EB38B7" w:rsidP="00EB38B7">
            <w:pPr>
              <w:spacing w:after="0" w:line="240" w:lineRule="auto"/>
              <w:rPr>
                <w:rFonts w:ascii="Arial" w:eastAsia="Times New Roman" w:hAnsi="Arial" w:cs="Arial"/>
                <w:bCs/>
                <w:sz w:val="18"/>
                <w:szCs w:val="18"/>
                <w:lang w:eastAsia="en-GB"/>
              </w:rPr>
            </w:pPr>
          </w:p>
        </w:tc>
      </w:tr>
      <w:tr w:rsidR="00EB38B7" w:rsidRPr="00EB38B7" w:rsidTr="00E9073B">
        <w:trPr>
          <w:cantSplit/>
          <w:trHeight w:hRule="exact" w:val="993"/>
        </w:trPr>
        <w:tc>
          <w:tcPr>
            <w:tcW w:w="3012" w:type="dxa"/>
            <w:tcBorders>
              <w:top w:val="single" w:sz="4" w:space="0" w:color="auto"/>
              <w:left w:val="single" w:sz="4" w:space="0" w:color="auto"/>
              <w:bottom w:val="single" w:sz="4" w:space="0" w:color="auto"/>
              <w:right w:val="single" w:sz="4" w:space="0" w:color="auto"/>
            </w:tcBorders>
          </w:tcPr>
          <w:p w:rsidR="00EB38B7" w:rsidRPr="00E9073B" w:rsidRDefault="00EB38B7" w:rsidP="00EB38B7">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Risk / links with the BAF:</w:t>
            </w:r>
          </w:p>
          <w:p w:rsidR="00EB38B7" w:rsidRPr="00E9073B" w:rsidRDefault="00EB38B7" w:rsidP="00EB38B7">
            <w:pPr>
              <w:spacing w:after="0" w:line="240" w:lineRule="auto"/>
              <w:rPr>
                <w:rFonts w:ascii="Arial" w:eastAsia="Times New Roman" w:hAnsi="Arial" w:cs="Arial"/>
                <w:b/>
                <w:bCs/>
                <w:color w:val="005EB8"/>
                <w:sz w:val="24"/>
                <w:szCs w:val="18"/>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rsidR="00EB38B7" w:rsidRPr="00EB38B7" w:rsidRDefault="00EB38B7" w:rsidP="00EB38B7">
            <w:pPr>
              <w:spacing w:after="0" w:line="240" w:lineRule="auto"/>
              <w:rPr>
                <w:rFonts w:ascii="Arial" w:eastAsia="Times New Roman" w:hAnsi="Arial" w:cs="Arial"/>
                <w:sz w:val="18"/>
                <w:szCs w:val="18"/>
                <w:lang w:eastAsia="en-GB"/>
              </w:rPr>
            </w:pPr>
          </w:p>
          <w:p w:rsidR="00FF7D8A" w:rsidRDefault="00FF7D8A" w:rsidP="00FF7D8A">
            <w:pPr>
              <w:spacing w:after="0" w:line="240" w:lineRule="auto"/>
              <w:rPr>
                <w:rFonts w:ascii="Arial" w:eastAsia="Times New Roman" w:hAnsi="Arial" w:cs="Arial"/>
                <w:lang w:eastAsia="en-GB"/>
              </w:rPr>
            </w:pPr>
            <w:r>
              <w:rPr>
                <w:rFonts w:ascii="Arial" w:eastAsia="Times New Roman" w:hAnsi="Arial" w:cs="Arial"/>
                <w:lang w:eastAsia="en-GB"/>
              </w:rPr>
              <w:t>2.1 Workforce capacity</w:t>
            </w:r>
          </w:p>
          <w:p w:rsidR="00FF7D8A" w:rsidRDefault="00FF7D8A" w:rsidP="00FF7D8A">
            <w:pPr>
              <w:spacing w:after="0" w:line="240" w:lineRule="auto"/>
              <w:rPr>
                <w:rFonts w:ascii="Arial" w:eastAsia="Times New Roman" w:hAnsi="Arial" w:cs="Arial"/>
                <w:lang w:eastAsia="en-GB"/>
              </w:rPr>
            </w:pPr>
            <w:r>
              <w:rPr>
                <w:rFonts w:ascii="Arial" w:eastAsia="Times New Roman" w:hAnsi="Arial" w:cs="Arial"/>
                <w:lang w:eastAsia="en-GB"/>
              </w:rPr>
              <w:t>2.3 Internal engagement</w:t>
            </w:r>
          </w:p>
          <w:p w:rsidR="00FF7D8A" w:rsidRPr="00726008" w:rsidRDefault="00FF7D8A" w:rsidP="00FF7D8A">
            <w:pPr>
              <w:spacing w:after="0" w:line="240" w:lineRule="auto"/>
              <w:rPr>
                <w:rFonts w:ascii="Arial" w:eastAsia="Times New Roman" w:hAnsi="Arial" w:cs="Arial"/>
                <w:lang w:eastAsia="en-GB"/>
              </w:rPr>
            </w:pPr>
            <w:r>
              <w:rPr>
                <w:rFonts w:ascii="Arial" w:eastAsia="Times New Roman" w:hAnsi="Arial" w:cs="Arial"/>
                <w:lang w:eastAsia="en-GB"/>
              </w:rPr>
              <w:t>2.4 Workforce capabilities</w:t>
            </w:r>
          </w:p>
          <w:p w:rsidR="00EB38B7" w:rsidRDefault="00EB38B7"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Default="00C13A74" w:rsidP="00EB38B7">
            <w:pPr>
              <w:spacing w:after="0" w:line="240" w:lineRule="auto"/>
              <w:rPr>
                <w:rFonts w:ascii="Arial" w:eastAsia="Times New Roman" w:hAnsi="Arial" w:cs="Arial"/>
                <w:sz w:val="18"/>
                <w:szCs w:val="18"/>
                <w:lang w:eastAsia="en-GB"/>
              </w:rPr>
            </w:pPr>
          </w:p>
          <w:p w:rsidR="00C13A74" w:rsidRPr="00EB38B7" w:rsidRDefault="00C13A74" w:rsidP="00EB38B7">
            <w:pPr>
              <w:spacing w:after="0" w:line="240" w:lineRule="auto"/>
              <w:rPr>
                <w:rFonts w:ascii="Arial" w:eastAsia="Times New Roman" w:hAnsi="Arial" w:cs="Arial"/>
                <w:sz w:val="18"/>
                <w:szCs w:val="18"/>
                <w:lang w:eastAsia="en-GB"/>
              </w:rPr>
            </w:pPr>
          </w:p>
          <w:p w:rsidR="00EB38B7" w:rsidRPr="00EB38B7" w:rsidRDefault="00EB38B7" w:rsidP="00EB38B7">
            <w:pPr>
              <w:spacing w:after="0" w:line="240" w:lineRule="auto"/>
              <w:rPr>
                <w:rFonts w:ascii="Arial" w:eastAsia="Times New Roman" w:hAnsi="Arial" w:cs="Arial"/>
                <w:sz w:val="18"/>
                <w:szCs w:val="18"/>
                <w:lang w:eastAsia="en-GB"/>
              </w:rPr>
            </w:pPr>
          </w:p>
          <w:p w:rsidR="00EB38B7" w:rsidRPr="00EB38B7" w:rsidRDefault="00EB38B7" w:rsidP="00EB38B7">
            <w:pPr>
              <w:spacing w:after="0" w:line="240" w:lineRule="auto"/>
              <w:rPr>
                <w:rFonts w:ascii="Arial" w:eastAsia="Times New Roman" w:hAnsi="Arial" w:cs="Arial"/>
                <w:sz w:val="18"/>
                <w:szCs w:val="18"/>
                <w:lang w:eastAsia="en-GB"/>
              </w:rPr>
            </w:pPr>
          </w:p>
          <w:p w:rsidR="00EB38B7" w:rsidRPr="00EB38B7" w:rsidRDefault="00EB38B7" w:rsidP="00EB38B7">
            <w:pPr>
              <w:spacing w:after="0" w:line="240" w:lineRule="auto"/>
              <w:rPr>
                <w:rFonts w:ascii="Arial" w:eastAsia="Times New Roman" w:hAnsi="Arial" w:cs="Arial"/>
                <w:sz w:val="18"/>
                <w:szCs w:val="18"/>
                <w:lang w:eastAsia="en-GB"/>
              </w:rPr>
            </w:pPr>
          </w:p>
          <w:p w:rsidR="00EB38B7" w:rsidRPr="00EB38B7" w:rsidRDefault="00EB38B7" w:rsidP="00EB38B7">
            <w:pPr>
              <w:spacing w:after="0" w:line="240" w:lineRule="auto"/>
              <w:rPr>
                <w:rFonts w:ascii="Arial" w:eastAsia="Times New Roman" w:hAnsi="Arial" w:cs="Arial"/>
                <w:sz w:val="18"/>
                <w:szCs w:val="18"/>
                <w:lang w:eastAsia="en-GB"/>
              </w:rPr>
            </w:pPr>
          </w:p>
        </w:tc>
      </w:tr>
      <w:tr w:rsidR="0094599B" w:rsidRPr="00EB38B7" w:rsidTr="00E9073B">
        <w:trPr>
          <w:cantSplit/>
          <w:trHeight w:hRule="exact" w:val="1134"/>
        </w:trPr>
        <w:tc>
          <w:tcPr>
            <w:tcW w:w="3012" w:type="dxa"/>
            <w:tcBorders>
              <w:top w:val="single" w:sz="4" w:space="0" w:color="auto"/>
              <w:left w:val="single" w:sz="4" w:space="0" w:color="auto"/>
              <w:bottom w:val="single" w:sz="4" w:space="0" w:color="auto"/>
              <w:right w:val="single" w:sz="4" w:space="0" w:color="auto"/>
            </w:tcBorders>
          </w:tcPr>
          <w:p w:rsidR="0094599B" w:rsidRPr="00E9073B" w:rsidRDefault="0094599B" w:rsidP="0094599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Legislation, regulatory, equality, diversity and dignity implications:</w:t>
            </w:r>
          </w:p>
          <w:p w:rsidR="0094599B" w:rsidRPr="00E9073B" w:rsidRDefault="0094599B" w:rsidP="0094599B">
            <w:pPr>
              <w:spacing w:after="0" w:line="240" w:lineRule="auto"/>
              <w:rPr>
                <w:rFonts w:ascii="Arial" w:eastAsia="Times New Roman" w:hAnsi="Arial" w:cs="Arial"/>
                <w:b/>
                <w:bCs/>
                <w:color w:val="005EB8"/>
                <w:sz w:val="24"/>
                <w:szCs w:val="18"/>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rsidR="0094599B" w:rsidRPr="00EB38B7" w:rsidRDefault="0094599B" w:rsidP="0094599B">
            <w:pPr>
              <w:spacing w:after="0" w:line="240" w:lineRule="auto"/>
              <w:rPr>
                <w:rFonts w:ascii="Arial" w:eastAsia="Times New Roman" w:hAnsi="Arial" w:cs="Arial"/>
                <w:sz w:val="18"/>
                <w:szCs w:val="18"/>
                <w:lang w:eastAsia="en-GB"/>
              </w:rPr>
            </w:pPr>
          </w:p>
          <w:p w:rsidR="002B7B3E" w:rsidRDefault="002B7B3E" w:rsidP="002B7B3E">
            <w:pPr>
              <w:autoSpaceDE w:val="0"/>
              <w:autoSpaceDN w:val="0"/>
              <w:adjustRightInd w:val="0"/>
              <w:spacing w:after="0" w:line="240" w:lineRule="auto"/>
              <w:rPr>
                <w:rFonts w:ascii="Arial" w:eastAsia="Calibri" w:hAnsi="Arial" w:cs="Arial"/>
                <w:bCs/>
                <w:lang w:eastAsia="en-GB"/>
              </w:rPr>
            </w:pPr>
            <w:r w:rsidRPr="002D47AE">
              <w:rPr>
                <w:rFonts w:ascii="Arial" w:eastAsia="Calibri" w:hAnsi="Arial" w:cs="Arial"/>
                <w:bCs/>
                <w:lang w:eastAsia="en-GB"/>
              </w:rPr>
              <w:t xml:space="preserve">The Trust </w:t>
            </w:r>
            <w:r>
              <w:rPr>
                <w:rFonts w:ascii="Arial" w:eastAsia="Calibri" w:hAnsi="Arial" w:cs="Arial"/>
                <w:bCs/>
                <w:lang w:eastAsia="en-GB"/>
              </w:rPr>
              <w:t>is required by law to publish their gender pay gap report</w:t>
            </w:r>
          </w:p>
          <w:p w:rsidR="0094599B" w:rsidRDefault="0094599B" w:rsidP="0094599B">
            <w:pPr>
              <w:autoSpaceDE w:val="0"/>
              <w:autoSpaceDN w:val="0"/>
              <w:adjustRightInd w:val="0"/>
              <w:spacing w:after="0" w:line="240" w:lineRule="auto"/>
              <w:rPr>
                <w:rFonts w:ascii="Arial" w:eastAsia="Calibri" w:hAnsi="Arial" w:cs="Arial"/>
                <w:bCs/>
                <w:lang w:eastAsia="en-GB"/>
              </w:rPr>
            </w:pPr>
          </w:p>
          <w:p w:rsidR="0094599B" w:rsidRPr="00EB38B7" w:rsidRDefault="0094599B" w:rsidP="0094599B">
            <w:pPr>
              <w:spacing w:after="0" w:line="240" w:lineRule="auto"/>
              <w:rPr>
                <w:rFonts w:ascii="Arial" w:eastAsia="Times New Roman" w:hAnsi="Arial" w:cs="Arial"/>
                <w:sz w:val="18"/>
                <w:szCs w:val="18"/>
                <w:lang w:eastAsia="en-GB"/>
              </w:rPr>
            </w:pPr>
          </w:p>
          <w:p w:rsidR="0094599B" w:rsidRPr="00EB38B7" w:rsidRDefault="0094599B" w:rsidP="0094599B">
            <w:pPr>
              <w:spacing w:after="0" w:line="240" w:lineRule="auto"/>
              <w:rPr>
                <w:rFonts w:ascii="Arial" w:eastAsia="Times New Roman" w:hAnsi="Arial" w:cs="Arial"/>
                <w:sz w:val="18"/>
                <w:szCs w:val="18"/>
                <w:lang w:eastAsia="en-GB"/>
              </w:rPr>
            </w:pPr>
          </w:p>
          <w:p w:rsidR="0094599B" w:rsidRPr="00EB38B7" w:rsidRDefault="0094599B" w:rsidP="0094599B">
            <w:pPr>
              <w:spacing w:after="0" w:line="240" w:lineRule="auto"/>
              <w:rPr>
                <w:rFonts w:ascii="Arial" w:eastAsia="Times New Roman" w:hAnsi="Arial" w:cs="Arial"/>
                <w:sz w:val="18"/>
                <w:szCs w:val="18"/>
                <w:lang w:eastAsia="en-GB"/>
              </w:rPr>
            </w:pPr>
          </w:p>
          <w:p w:rsidR="0094599B" w:rsidRPr="00EB38B7" w:rsidRDefault="0094599B" w:rsidP="0094599B">
            <w:pPr>
              <w:spacing w:after="0" w:line="240" w:lineRule="auto"/>
              <w:rPr>
                <w:rFonts w:ascii="Arial" w:eastAsia="Times New Roman" w:hAnsi="Arial" w:cs="Arial"/>
                <w:sz w:val="18"/>
                <w:szCs w:val="18"/>
                <w:lang w:eastAsia="en-GB"/>
              </w:rPr>
            </w:pPr>
          </w:p>
          <w:p w:rsidR="0094599B" w:rsidRPr="00EB38B7" w:rsidRDefault="0094599B" w:rsidP="0094599B">
            <w:pPr>
              <w:spacing w:after="0" w:line="240" w:lineRule="auto"/>
              <w:rPr>
                <w:rFonts w:ascii="Arial" w:eastAsia="Times New Roman" w:hAnsi="Arial" w:cs="Arial"/>
                <w:sz w:val="18"/>
                <w:szCs w:val="18"/>
                <w:lang w:eastAsia="en-GB"/>
              </w:rPr>
            </w:pPr>
          </w:p>
        </w:tc>
      </w:tr>
      <w:tr w:rsidR="0094599B" w:rsidRPr="00EB38B7" w:rsidTr="00E9073B">
        <w:trPr>
          <w:cantSplit/>
          <w:trHeight w:hRule="exact" w:val="680"/>
        </w:trPr>
        <w:tc>
          <w:tcPr>
            <w:tcW w:w="3012" w:type="dxa"/>
            <w:tcBorders>
              <w:top w:val="single" w:sz="4" w:space="0" w:color="auto"/>
              <w:left w:val="single" w:sz="4" w:space="0" w:color="auto"/>
              <w:bottom w:val="single" w:sz="4" w:space="0" w:color="auto"/>
              <w:right w:val="single" w:sz="4" w:space="0" w:color="auto"/>
            </w:tcBorders>
            <w:hideMark/>
          </w:tcPr>
          <w:p w:rsidR="0094599B" w:rsidRPr="00E9073B" w:rsidRDefault="0094599B" w:rsidP="0094599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Appendices:</w:t>
            </w:r>
          </w:p>
          <w:p w:rsidR="0094599B" w:rsidRPr="00E9073B" w:rsidRDefault="0094599B" w:rsidP="0094599B">
            <w:pPr>
              <w:spacing w:after="0" w:line="240" w:lineRule="auto"/>
              <w:rPr>
                <w:rFonts w:ascii="Arial" w:eastAsia="Times New Roman" w:hAnsi="Arial" w:cs="Arial"/>
                <w:b/>
                <w:bCs/>
                <w:color w:val="005EB8"/>
                <w:sz w:val="24"/>
                <w:szCs w:val="18"/>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rsidR="0094599B" w:rsidRPr="00E8246D" w:rsidRDefault="0094599B" w:rsidP="0094599B">
            <w:pPr>
              <w:spacing w:after="0" w:line="240" w:lineRule="auto"/>
              <w:rPr>
                <w:rFonts w:ascii="Arial" w:eastAsia="Times New Roman" w:hAnsi="Arial" w:cs="Arial"/>
                <w:sz w:val="24"/>
                <w:szCs w:val="24"/>
                <w:lang w:eastAsia="en-GB"/>
              </w:rPr>
            </w:pPr>
          </w:p>
          <w:p w:rsidR="0094599B" w:rsidRPr="00E8246D" w:rsidRDefault="0094599B" w:rsidP="0094599B">
            <w:pPr>
              <w:spacing w:after="0" w:line="240" w:lineRule="auto"/>
              <w:rPr>
                <w:rFonts w:ascii="Arial" w:eastAsia="Times New Roman" w:hAnsi="Arial" w:cs="Arial"/>
                <w:sz w:val="24"/>
                <w:szCs w:val="24"/>
                <w:lang w:eastAsia="en-GB"/>
              </w:rPr>
            </w:pPr>
          </w:p>
          <w:p w:rsidR="0094599B" w:rsidRPr="00E8246D" w:rsidRDefault="0094599B" w:rsidP="0094599B">
            <w:pPr>
              <w:spacing w:after="0" w:line="240" w:lineRule="auto"/>
              <w:rPr>
                <w:rFonts w:ascii="Arial" w:eastAsia="Times New Roman" w:hAnsi="Arial" w:cs="Arial"/>
                <w:sz w:val="24"/>
                <w:szCs w:val="24"/>
                <w:lang w:eastAsia="en-GB"/>
              </w:rPr>
            </w:pPr>
          </w:p>
        </w:tc>
      </w:tr>
    </w:tbl>
    <w:p w:rsidR="00E9073B" w:rsidRDefault="00E9073B" w:rsidP="00502A96">
      <w:pPr>
        <w:spacing w:after="0" w:line="240" w:lineRule="auto"/>
        <w:jc w:val="center"/>
        <w:rPr>
          <w:rFonts w:ascii="Arial" w:eastAsia="Times New Roman" w:hAnsi="Arial" w:cs="Arial"/>
          <w:b/>
          <w:bCs/>
          <w:i/>
          <w:color w:val="00B0F0"/>
          <w:lang w:eastAsia="en-GB"/>
        </w:rPr>
      </w:pPr>
    </w:p>
    <w:p w:rsidR="00DC3421" w:rsidRPr="00E9073B" w:rsidRDefault="00DC3421" w:rsidP="00E9073B">
      <w:pPr>
        <w:spacing w:after="0" w:line="240" w:lineRule="auto"/>
        <w:rPr>
          <w:rFonts w:ascii="Arial" w:eastAsia="Times New Roman" w:hAnsi="Arial" w:cs="Arial"/>
          <w:b/>
          <w:bCs/>
          <w:sz w:val="24"/>
          <w:szCs w:val="24"/>
          <w:lang w:eastAsia="en-GB"/>
        </w:rPr>
      </w:pPr>
    </w:p>
    <w:p w:rsidR="005B1E79" w:rsidRDefault="005B1E79" w:rsidP="005B1E79">
      <w:pPr>
        <w:pStyle w:val="ListParagraph"/>
        <w:spacing w:after="0" w:line="240" w:lineRule="auto"/>
        <w:rPr>
          <w:rFonts w:ascii="Arial" w:eastAsia="Times New Roman" w:hAnsi="Arial" w:cs="Arial"/>
          <w:b/>
          <w:bCs/>
          <w:color w:val="005EB8"/>
          <w:sz w:val="24"/>
          <w:szCs w:val="24"/>
          <w:lang w:eastAsia="en-GB"/>
        </w:rPr>
      </w:pPr>
    </w:p>
    <w:p w:rsidR="00810265" w:rsidRPr="00503480" w:rsidRDefault="00810265" w:rsidP="00810265">
      <w:pPr>
        <w:pStyle w:val="ListParagraph"/>
        <w:numPr>
          <w:ilvl w:val="0"/>
          <w:numId w:val="22"/>
        </w:numPr>
        <w:spacing w:after="0" w:line="240" w:lineRule="auto"/>
        <w:rPr>
          <w:rFonts w:ascii="Arial" w:eastAsia="Times New Roman" w:hAnsi="Arial" w:cs="Arial"/>
          <w:b/>
          <w:bCs/>
          <w:color w:val="005EB8"/>
          <w:lang w:eastAsia="en-GB"/>
        </w:rPr>
      </w:pPr>
      <w:r w:rsidRPr="00DD4391">
        <w:rPr>
          <w:rFonts w:ascii="Arial" w:eastAsia="Times New Roman" w:hAnsi="Arial" w:cs="Arial"/>
          <w:b/>
          <w:bCs/>
          <w:color w:val="000000" w:themeColor="text1"/>
          <w:lang w:eastAsia="en-GB"/>
        </w:rPr>
        <w:t xml:space="preserve">Introduction </w:t>
      </w:r>
    </w:p>
    <w:p w:rsidR="00810265" w:rsidRDefault="00810265" w:rsidP="00810265">
      <w:pPr>
        <w:pStyle w:val="Default"/>
        <w:ind w:left="1080"/>
        <w:rPr>
          <w:sz w:val="22"/>
          <w:szCs w:val="22"/>
        </w:rPr>
      </w:pPr>
    </w:p>
    <w:p w:rsidR="00F20A87" w:rsidRDefault="00810265" w:rsidP="00F20A87">
      <w:pPr>
        <w:pStyle w:val="Default"/>
        <w:ind w:left="1080"/>
        <w:rPr>
          <w:sz w:val="22"/>
          <w:szCs w:val="22"/>
        </w:rPr>
      </w:pPr>
      <w:r>
        <w:rPr>
          <w:sz w:val="22"/>
          <w:szCs w:val="22"/>
        </w:rPr>
        <w:t>The</w:t>
      </w:r>
      <w:r>
        <w:rPr>
          <w:rFonts w:eastAsia="Times New Roman"/>
          <w:sz w:val="22"/>
          <w:szCs w:val="22"/>
        </w:rPr>
        <w:t xml:space="preserve"> gender </w:t>
      </w:r>
      <w:r w:rsidRPr="00307F30">
        <w:rPr>
          <w:rFonts w:eastAsia="Times New Roman"/>
          <w:sz w:val="22"/>
          <w:szCs w:val="22"/>
        </w:rPr>
        <w:t xml:space="preserve">pay reporting legislation </w:t>
      </w:r>
      <w:r w:rsidRPr="00307F30">
        <w:rPr>
          <w:sz w:val="22"/>
          <w:szCs w:val="22"/>
        </w:rPr>
        <w:t>requires all organisations employing more than 250 people to</w:t>
      </w:r>
      <w:r>
        <w:rPr>
          <w:sz w:val="22"/>
          <w:szCs w:val="22"/>
        </w:rPr>
        <w:t xml:space="preserve"> measure and</w:t>
      </w:r>
      <w:r w:rsidRPr="00307F30">
        <w:rPr>
          <w:sz w:val="22"/>
          <w:szCs w:val="22"/>
        </w:rPr>
        <w:t xml:space="preserve"> publish their gender pay </w:t>
      </w:r>
      <w:r>
        <w:rPr>
          <w:sz w:val="22"/>
          <w:szCs w:val="22"/>
        </w:rPr>
        <w:t xml:space="preserve">information </w:t>
      </w:r>
      <w:r w:rsidRPr="00307F30">
        <w:rPr>
          <w:sz w:val="22"/>
          <w:szCs w:val="22"/>
        </w:rPr>
        <w:t>based on</w:t>
      </w:r>
      <w:r>
        <w:rPr>
          <w:sz w:val="22"/>
          <w:szCs w:val="22"/>
        </w:rPr>
        <w:t xml:space="preserve"> earnings. </w:t>
      </w:r>
    </w:p>
    <w:p w:rsidR="00810265" w:rsidRDefault="00810265" w:rsidP="00F20A87">
      <w:pPr>
        <w:pStyle w:val="Default"/>
        <w:ind w:left="1080"/>
        <w:rPr>
          <w:sz w:val="22"/>
          <w:szCs w:val="22"/>
        </w:rPr>
      </w:pPr>
      <w:r>
        <w:rPr>
          <w:sz w:val="22"/>
          <w:szCs w:val="22"/>
        </w:rPr>
        <w:t>As at 31 March 202</w:t>
      </w:r>
      <w:r w:rsidR="00CB7EB8">
        <w:rPr>
          <w:sz w:val="22"/>
          <w:szCs w:val="22"/>
        </w:rPr>
        <w:t>2</w:t>
      </w:r>
      <w:r>
        <w:rPr>
          <w:sz w:val="22"/>
          <w:szCs w:val="22"/>
        </w:rPr>
        <w:t xml:space="preserve">, our gender profile is </w:t>
      </w:r>
      <w:r w:rsidR="003A4267">
        <w:rPr>
          <w:sz w:val="22"/>
          <w:szCs w:val="22"/>
        </w:rPr>
        <w:t>78</w:t>
      </w:r>
      <w:r w:rsidRPr="0022132A">
        <w:rPr>
          <w:sz w:val="22"/>
          <w:szCs w:val="22"/>
        </w:rPr>
        <w:t xml:space="preserve">% women and </w:t>
      </w:r>
      <w:r w:rsidR="003A4267">
        <w:rPr>
          <w:sz w:val="22"/>
          <w:szCs w:val="22"/>
        </w:rPr>
        <w:t>22</w:t>
      </w:r>
      <w:r w:rsidRPr="0022132A">
        <w:rPr>
          <w:sz w:val="22"/>
          <w:szCs w:val="22"/>
        </w:rPr>
        <w:t>% men</w:t>
      </w:r>
      <w:r>
        <w:rPr>
          <w:sz w:val="22"/>
          <w:szCs w:val="22"/>
        </w:rPr>
        <w:t xml:space="preserve">. </w:t>
      </w:r>
    </w:p>
    <w:p w:rsidR="00810265" w:rsidRPr="00503480" w:rsidRDefault="00810265" w:rsidP="00810265">
      <w:pPr>
        <w:pStyle w:val="ListParagraph"/>
        <w:spacing w:after="0" w:line="240" w:lineRule="auto"/>
        <w:ind w:left="1080"/>
        <w:rPr>
          <w:rFonts w:ascii="Arial" w:eastAsia="Times New Roman" w:hAnsi="Arial" w:cs="Arial"/>
          <w:b/>
          <w:bCs/>
          <w:color w:val="005EB8"/>
          <w:lang w:eastAsia="en-GB"/>
        </w:rPr>
      </w:pPr>
    </w:p>
    <w:p w:rsidR="00810265" w:rsidRPr="00DD4391" w:rsidRDefault="00810265" w:rsidP="00810265">
      <w:pPr>
        <w:pStyle w:val="ListParagraph"/>
        <w:numPr>
          <w:ilvl w:val="0"/>
          <w:numId w:val="22"/>
        </w:numPr>
        <w:spacing w:after="0" w:line="240" w:lineRule="auto"/>
        <w:rPr>
          <w:rFonts w:ascii="Arial" w:eastAsia="Times New Roman" w:hAnsi="Arial" w:cs="Arial"/>
          <w:b/>
          <w:bCs/>
          <w:color w:val="000000" w:themeColor="text1"/>
          <w:lang w:eastAsia="en-GB"/>
        </w:rPr>
      </w:pPr>
      <w:r w:rsidRPr="00DD4391">
        <w:rPr>
          <w:rFonts w:ascii="Arial" w:eastAsia="Times New Roman" w:hAnsi="Arial" w:cs="Arial"/>
          <w:b/>
          <w:bCs/>
          <w:color w:val="000000" w:themeColor="text1"/>
          <w:lang w:eastAsia="en-GB"/>
        </w:rPr>
        <w:t>Background &amp; context</w:t>
      </w:r>
    </w:p>
    <w:p w:rsidR="00810265" w:rsidRDefault="00810265" w:rsidP="00810265">
      <w:pPr>
        <w:pStyle w:val="ListParagraph"/>
        <w:spacing w:after="0" w:line="240" w:lineRule="auto"/>
        <w:ind w:left="1080"/>
        <w:rPr>
          <w:rFonts w:ascii="Arial" w:eastAsia="Times New Roman" w:hAnsi="Arial" w:cs="Arial"/>
          <w:b/>
          <w:bCs/>
          <w:color w:val="005EB8"/>
          <w:lang w:eastAsia="en-GB"/>
        </w:rPr>
      </w:pPr>
    </w:p>
    <w:p w:rsidR="00810265" w:rsidRPr="00DD4391" w:rsidRDefault="00810265" w:rsidP="00F20A87">
      <w:pPr>
        <w:pStyle w:val="ListParagraph"/>
        <w:numPr>
          <w:ilvl w:val="1"/>
          <w:numId w:val="22"/>
        </w:numPr>
        <w:spacing w:after="0" w:line="240" w:lineRule="auto"/>
        <w:ind w:hanging="731"/>
        <w:rPr>
          <w:rFonts w:ascii="Arial" w:eastAsia="Times New Roman" w:hAnsi="Arial" w:cs="Arial"/>
          <w:b/>
          <w:bCs/>
          <w:color w:val="000000" w:themeColor="text1"/>
          <w:lang w:eastAsia="en-GB"/>
        </w:rPr>
      </w:pPr>
      <w:r w:rsidRPr="00DD4391">
        <w:rPr>
          <w:rFonts w:ascii="Arial" w:hAnsi="Arial" w:cs="Arial"/>
          <w:color w:val="000000" w:themeColor="text1"/>
        </w:rPr>
        <w:t>The legislation framework can be referenced to the Equality Act 2010 -Specific Duties and Public Authorities - Regulations 2017.</w:t>
      </w:r>
    </w:p>
    <w:p w:rsidR="00810265" w:rsidRPr="00DD4391" w:rsidRDefault="00810265" w:rsidP="00810265">
      <w:pPr>
        <w:pStyle w:val="ListParagraph"/>
        <w:spacing w:after="0" w:line="240" w:lineRule="auto"/>
        <w:ind w:left="1440"/>
        <w:rPr>
          <w:rFonts w:ascii="Arial" w:eastAsia="Times New Roman" w:hAnsi="Arial" w:cs="Arial"/>
          <w:b/>
          <w:bCs/>
          <w:color w:val="000000" w:themeColor="text1"/>
          <w:lang w:eastAsia="en-GB"/>
        </w:rPr>
      </w:pPr>
    </w:p>
    <w:p w:rsidR="00810265" w:rsidRPr="00DD4391" w:rsidRDefault="00810265" w:rsidP="00F20A87">
      <w:pPr>
        <w:pStyle w:val="ListParagraph"/>
        <w:numPr>
          <w:ilvl w:val="1"/>
          <w:numId w:val="22"/>
        </w:numPr>
        <w:spacing w:after="0" w:line="240" w:lineRule="auto"/>
        <w:ind w:hanging="731"/>
        <w:rPr>
          <w:rFonts w:ascii="Arial" w:eastAsia="Times New Roman" w:hAnsi="Arial" w:cs="Arial"/>
          <w:b/>
          <w:bCs/>
          <w:color w:val="000000" w:themeColor="text1"/>
          <w:lang w:eastAsia="en-GB"/>
        </w:rPr>
      </w:pPr>
      <w:r w:rsidRPr="00DD4391">
        <w:rPr>
          <w:rFonts w:ascii="Arial" w:hAnsi="Arial" w:cs="Arial"/>
          <w:color w:val="000000" w:themeColor="text1"/>
        </w:rPr>
        <w:t>It is important to note that the gender pay gap reporting legislation is distinct from equal pay. Equal pay is concerned with men and women earning equal pay for the same or similar work. The gender pay gap is about the difference between men and women average pay within an organisation.</w:t>
      </w:r>
    </w:p>
    <w:p w:rsidR="00810265" w:rsidRPr="00DD4391" w:rsidRDefault="00810265" w:rsidP="00810265">
      <w:pPr>
        <w:spacing w:after="0" w:line="240" w:lineRule="auto"/>
        <w:rPr>
          <w:rFonts w:ascii="Arial" w:eastAsia="Times New Roman" w:hAnsi="Arial" w:cs="Arial"/>
          <w:b/>
          <w:bCs/>
          <w:color w:val="000000" w:themeColor="text1"/>
          <w:lang w:eastAsia="en-GB"/>
        </w:rPr>
      </w:pPr>
    </w:p>
    <w:p w:rsidR="00810265" w:rsidRPr="00DD4391" w:rsidRDefault="00810265" w:rsidP="00F20A87">
      <w:pPr>
        <w:pStyle w:val="ListParagraph"/>
        <w:numPr>
          <w:ilvl w:val="1"/>
          <w:numId w:val="22"/>
        </w:numPr>
        <w:spacing w:after="0" w:line="240" w:lineRule="auto"/>
        <w:ind w:hanging="731"/>
        <w:rPr>
          <w:rFonts w:ascii="Arial" w:eastAsia="Times New Roman" w:hAnsi="Arial" w:cs="Arial"/>
          <w:b/>
          <w:bCs/>
          <w:color w:val="000000" w:themeColor="text1"/>
          <w:lang w:eastAsia="en-GB"/>
        </w:rPr>
      </w:pPr>
      <w:r w:rsidRPr="00DD4391">
        <w:rPr>
          <w:rFonts w:ascii="Arial" w:hAnsi="Arial" w:cs="Arial"/>
          <w:color w:val="000000" w:themeColor="text1"/>
        </w:rPr>
        <w:t>The NHS has a national pay structure, job evaluation system and contractual terms and conditions for medical and non-medical staff, which has been developed in partnership with trade unions. This national framework provides a robust set of arrangements for pay determination.</w:t>
      </w:r>
    </w:p>
    <w:p w:rsidR="00810265" w:rsidRPr="00DD4391" w:rsidRDefault="00810265" w:rsidP="00810265">
      <w:pPr>
        <w:pStyle w:val="ListParagraph"/>
        <w:rPr>
          <w:rFonts w:ascii="Arial" w:eastAsia="Times New Roman" w:hAnsi="Arial" w:cs="Arial"/>
          <w:b/>
          <w:bCs/>
          <w:color w:val="000000" w:themeColor="text1"/>
          <w:lang w:eastAsia="en-GB"/>
        </w:rPr>
      </w:pPr>
    </w:p>
    <w:p w:rsidR="00810265" w:rsidRPr="00503480" w:rsidRDefault="00810265" w:rsidP="00F20A87">
      <w:pPr>
        <w:pStyle w:val="ListParagraph"/>
        <w:numPr>
          <w:ilvl w:val="1"/>
          <w:numId w:val="22"/>
        </w:numPr>
        <w:spacing w:after="0" w:line="240" w:lineRule="auto"/>
        <w:ind w:hanging="731"/>
        <w:rPr>
          <w:rFonts w:ascii="Arial" w:eastAsia="Times New Roman" w:hAnsi="Arial" w:cs="Arial"/>
          <w:b/>
          <w:bCs/>
          <w:color w:val="005EB8"/>
          <w:lang w:eastAsia="en-GB"/>
        </w:rPr>
      </w:pPr>
      <w:r w:rsidRPr="00DD4391">
        <w:rPr>
          <w:rFonts w:ascii="Arial" w:hAnsi="Arial" w:cs="Arial"/>
          <w:color w:val="000000" w:themeColor="text1"/>
        </w:rPr>
        <w:t xml:space="preserve">The </w:t>
      </w:r>
      <w:r w:rsidR="00F20A87">
        <w:rPr>
          <w:rFonts w:ascii="Arial" w:hAnsi="Arial" w:cs="Arial"/>
          <w:color w:val="000000" w:themeColor="text1"/>
        </w:rPr>
        <w:t>g</w:t>
      </w:r>
      <w:r w:rsidRPr="00DD4391">
        <w:rPr>
          <w:rFonts w:ascii="Arial" w:hAnsi="Arial" w:cs="Arial"/>
          <w:color w:val="000000" w:themeColor="text1"/>
        </w:rPr>
        <w:t xml:space="preserve">ender </w:t>
      </w:r>
      <w:r w:rsidR="00F20A87">
        <w:rPr>
          <w:rFonts w:ascii="Arial" w:hAnsi="Arial" w:cs="Arial"/>
          <w:color w:val="000000" w:themeColor="text1"/>
        </w:rPr>
        <w:t>p</w:t>
      </w:r>
      <w:r w:rsidRPr="00DD4391">
        <w:rPr>
          <w:rFonts w:ascii="Arial" w:hAnsi="Arial" w:cs="Arial"/>
          <w:color w:val="000000" w:themeColor="text1"/>
        </w:rPr>
        <w:t xml:space="preserve">ay reporting requirements </w:t>
      </w:r>
      <w:r w:rsidR="00F20A87">
        <w:rPr>
          <w:rFonts w:ascii="Arial" w:hAnsi="Arial" w:cs="Arial"/>
          <w:color w:val="000000" w:themeColor="text1"/>
        </w:rPr>
        <w:t>were</w:t>
      </w:r>
      <w:r w:rsidRPr="00DD4391">
        <w:rPr>
          <w:rFonts w:ascii="Arial" w:hAnsi="Arial" w:cs="Arial"/>
          <w:color w:val="000000" w:themeColor="text1"/>
        </w:rPr>
        <w:t xml:space="preserve"> introduced to highlight the differences in pay between men and women giving more transparency across all industry sectors. This assists employers to consider the reasons for any differences and to take any corresponding </w:t>
      </w:r>
      <w:r w:rsidRPr="00503480">
        <w:rPr>
          <w:rFonts w:ascii="Arial" w:hAnsi="Arial" w:cs="Arial"/>
        </w:rPr>
        <w:t>action</w:t>
      </w:r>
      <w:r>
        <w:rPr>
          <w:rFonts w:ascii="Arial" w:hAnsi="Arial" w:cs="Arial"/>
        </w:rPr>
        <w:t>.</w:t>
      </w:r>
    </w:p>
    <w:p w:rsidR="00810265" w:rsidRPr="00F20A87" w:rsidRDefault="00810265" w:rsidP="00F20A87">
      <w:pPr>
        <w:spacing w:after="0" w:line="240" w:lineRule="auto"/>
        <w:rPr>
          <w:rFonts w:ascii="Arial" w:eastAsia="Times New Roman" w:hAnsi="Arial" w:cs="Arial"/>
          <w:b/>
          <w:bCs/>
          <w:color w:val="005EB8"/>
          <w:lang w:eastAsia="en-GB"/>
        </w:rPr>
      </w:pPr>
    </w:p>
    <w:p w:rsidR="00810265" w:rsidRPr="00DD4391" w:rsidRDefault="00810265" w:rsidP="00810265">
      <w:pPr>
        <w:pStyle w:val="ListParagraph"/>
        <w:numPr>
          <w:ilvl w:val="0"/>
          <w:numId w:val="22"/>
        </w:numPr>
        <w:spacing w:after="0" w:line="240" w:lineRule="auto"/>
        <w:rPr>
          <w:rFonts w:ascii="Arial" w:eastAsia="Times New Roman" w:hAnsi="Arial" w:cs="Arial"/>
          <w:b/>
          <w:bCs/>
          <w:color w:val="000000" w:themeColor="text1"/>
          <w:lang w:eastAsia="en-GB"/>
        </w:rPr>
      </w:pPr>
      <w:r w:rsidRPr="00DD4391">
        <w:rPr>
          <w:rFonts w:ascii="Arial" w:eastAsia="Times New Roman" w:hAnsi="Arial" w:cs="Arial"/>
          <w:b/>
          <w:bCs/>
          <w:color w:val="000000" w:themeColor="text1"/>
          <w:lang w:eastAsia="en-GB"/>
        </w:rPr>
        <w:t xml:space="preserve">Requirements </w:t>
      </w:r>
    </w:p>
    <w:p w:rsidR="00810265" w:rsidRDefault="00810265" w:rsidP="00810265">
      <w:pPr>
        <w:spacing w:after="0" w:line="240" w:lineRule="auto"/>
        <w:ind w:left="1080"/>
        <w:rPr>
          <w:rFonts w:ascii="Arial" w:eastAsia="Times New Roman" w:hAnsi="Arial" w:cs="Arial"/>
          <w:b/>
          <w:bCs/>
          <w:color w:val="005EB8"/>
          <w:lang w:eastAsia="en-GB"/>
        </w:rPr>
      </w:pPr>
    </w:p>
    <w:p w:rsidR="00810265" w:rsidRDefault="00F20A87" w:rsidP="00810265">
      <w:pPr>
        <w:spacing w:after="0" w:line="240" w:lineRule="auto"/>
        <w:ind w:left="1080"/>
        <w:rPr>
          <w:rFonts w:ascii="Arial" w:eastAsia="Times New Roman" w:hAnsi="Arial" w:cs="Arial"/>
          <w:b/>
          <w:bCs/>
          <w:color w:val="005EB8"/>
          <w:lang w:eastAsia="en-GB"/>
        </w:rPr>
      </w:pPr>
      <w:r>
        <w:rPr>
          <w:rFonts w:ascii="Arial" w:eastAsia="Times New Roman" w:hAnsi="Arial" w:cs="Arial"/>
          <w:bCs/>
          <w:color w:val="000000" w:themeColor="text1"/>
          <w:lang w:eastAsia="en-GB"/>
        </w:rPr>
        <w:t>Information taken</w:t>
      </w:r>
      <w:r w:rsidR="00810265">
        <w:rPr>
          <w:rFonts w:ascii="Arial" w:eastAsia="Times New Roman" w:hAnsi="Arial" w:cs="Arial"/>
          <w:bCs/>
          <w:color w:val="000000" w:themeColor="text1"/>
          <w:lang w:eastAsia="en-GB"/>
        </w:rPr>
        <w:t xml:space="preserve"> as </w:t>
      </w:r>
      <w:r>
        <w:rPr>
          <w:rFonts w:ascii="Arial" w:eastAsia="Times New Roman" w:hAnsi="Arial" w:cs="Arial"/>
          <w:bCs/>
          <w:color w:val="000000" w:themeColor="text1"/>
          <w:lang w:eastAsia="en-GB"/>
        </w:rPr>
        <w:t>of</w:t>
      </w:r>
      <w:r w:rsidR="00810265">
        <w:rPr>
          <w:rFonts w:ascii="Arial" w:eastAsia="Times New Roman" w:hAnsi="Arial" w:cs="Arial"/>
          <w:bCs/>
          <w:color w:val="000000" w:themeColor="text1"/>
          <w:lang w:eastAsia="en-GB"/>
        </w:rPr>
        <w:t xml:space="preserve"> 31 March 202</w:t>
      </w:r>
      <w:r w:rsidR="00B00911">
        <w:rPr>
          <w:rFonts w:ascii="Arial" w:eastAsia="Times New Roman" w:hAnsi="Arial" w:cs="Arial"/>
          <w:bCs/>
          <w:color w:val="000000" w:themeColor="text1"/>
          <w:lang w:eastAsia="en-GB"/>
        </w:rPr>
        <w:t>2</w:t>
      </w:r>
      <w:r w:rsidR="00810265">
        <w:rPr>
          <w:rFonts w:ascii="Arial" w:eastAsia="Times New Roman" w:hAnsi="Arial" w:cs="Arial"/>
          <w:bCs/>
          <w:color w:val="000000" w:themeColor="text1"/>
          <w:lang w:eastAsia="en-GB"/>
        </w:rPr>
        <w:t xml:space="preserve"> </w:t>
      </w:r>
      <w:r>
        <w:rPr>
          <w:rFonts w:ascii="Arial" w:eastAsia="Times New Roman" w:hAnsi="Arial" w:cs="Arial"/>
          <w:bCs/>
          <w:color w:val="000000" w:themeColor="text1"/>
          <w:lang w:eastAsia="en-GB"/>
        </w:rPr>
        <w:t xml:space="preserve"> looks at the following</w:t>
      </w:r>
      <w:r w:rsidR="00810265">
        <w:rPr>
          <w:rFonts w:ascii="Arial" w:eastAsia="Times New Roman" w:hAnsi="Arial" w:cs="Arial"/>
          <w:bCs/>
          <w:color w:val="000000" w:themeColor="text1"/>
          <w:lang w:eastAsia="en-GB"/>
        </w:rPr>
        <w:t>:</w:t>
      </w:r>
    </w:p>
    <w:p w:rsidR="00810265" w:rsidRDefault="00810265" w:rsidP="00810265">
      <w:pPr>
        <w:spacing w:after="0" w:line="240" w:lineRule="auto"/>
        <w:ind w:left="1080"/>
        <w:rPr>
          <w:rFonts w:ascii="Arial" w:eastAsia="Times New Roman" w:hAnsi="Arial" w:cs="Arial"/>
          <w:b/>
          <w:bCs/>
          <w:color w:val="005EB8"/>
          <w:lang w:eastAsia="en-GB"/>
        </w:rPr>
      </w:pPr>
    </w:p>
    <w:p w:rsidR="00810265" w:rsidRDefault="00810265" w:rsidP="00810265">
      <w:pPr>
        <w:pStyle w:val="NoSpacing"/>
        <w:numPr>
          <w:ilvl w:val="0"/>
          <w:numId w:val="23"/>
        </w:numPr>
        <w:rPr>
          <w:rFonts w:ascii="Arial" w:hAnsi="Arial" w:cs="Arial"/>
        </w:rPr>
      </w:pPr>
      <w:r>
        <w:rPr>
          <w:rFonts w:ascii="Arial" w:hAnsi="Arial" w:cs="Arial"/>
        </w:rPr>
        <w:t>Mean pay gap – the difference between the mean (average hourly earnings, excluding overtime) of men and women employees</w:t>
      </w:r>
    </w:p>
    <w:p w:rsidR="00810265" w:rsidRDefault="00810265" w:rsidP="00810265">
      <w:pPr>
        <w:pStyle w:val="NoSpacing"/>
        <w:numPr>
          <w:ilvl w:val="0"/>
          <w:numId w:val="23"/>
        </w:numPr>
        <w:rPr>
          <w:rFonts w:ascii="Arial" w:hAnsi="Arial" w:cs="Arial"/>
        </w:rPr>
      </w:pPr>
      <w:r>
        <w:rPr>
          <w:rFonts w:ascii="Arial" w:hAnsi="Arial" w:cs="Arial"/>
        </w:rPr>
        <w:t>Median pay gap – the difference between the median (the difference between the midpoints of hourly rates of earnings, excluding overtime) of men and women employees</w:t>
      </w:r>
    </w:p>
    <w:p w:rsidR="00810265" w:rsidRDefault="00810265" w:rsidP="00810265">
      <w:pPr>
        <w:pStyle w:val="NoSpacing"/>
        <w:numPr>
          <w:ilvl w:val="0"/>
          <w:numId w:val="23"/>
        </w:numPr>
        <w:rPr>
          <w:rFonts w:ascii="Arial" w:hAnsi="Arial" w:cs="Arial"/>
        </w:rPr>
      </w:pPr>
      <w:r>
        <w:rPr>
          <w:rFonts w:ascii="Arial" w:hAnsi="Arial" w:cs="Arial"/>
        </w:rPr>
        <w:t>Mean bonus gap – the difference between the mean bonus paid to men and women employees (</w:t>
      </w:r>
      <w:r w:rsidRPr="00E45BE3">
        <w:rPr>
          <w:rFonts w:ascii="Arial" w:hAnsi="Arial" w:cs="Arial"/>
        </w:rPr>
        <w:t xml:space="preserve">bonus pay exclusively made up of local and national </w:t>
      </w:r>
      <w:r>
        <w:rPr>
          <w:rFonts w:ascii="Arial" w:hAnsi="Arial" w:cs="Arial"/>
        </w:rPr>
        <w:t>c</w:t>
      </w:r>
      <w:r w:rsidRPr="00E45BE3">
        <w:rPr>
          <w:rFonts w:ascii="Arial" w:hAnsi="Arial" w:cs="Arial"/>
        </w:rPr>
        <w:t>onsultant clinical excellence awards, discretionary points</w:t>
      </w:r>
      <w:r>
        <w:rPr>
          <w:rFonts w:ascii="Arial" w:hAnsi="Arial" w:cs="Arial"/>
        </w:rPr>
        <w:t xml:space="preserve"> and the </w:t>
      </w:r>
      <w:r w:rsidRPr="00E45BE3">
        <w:rPr>
          <w:rFonts w:ascii="Arial" w:hAnsi="Arial" w:cs="Arial"/>
        </w:rPr>
        <w:t>welcome bonus for our international Nurses</w:t>
      </w:r>
      <w:r>
        <w:rPr>
          <w:rFonts w:ascii="Arial" w:hAnsi="Arial" w:cs="Arial"/>
        </w:rPr>
        <w:t>)</w:t>
      </w:r>
    </w:p>
    <w:p w:rsidR="00810265" w:rsidRDefault="00810265" w:rsidP="00810265">
      <w:pPr>
        <w:pStyle w:val="NoSpacing"/>
        <w:numPr>
          <w:ilvl w:val="0"/>
          <w:numId w:val="23"/>
        </w:numPr>
        <w:rPr>
          <w:rFonts w:ascii="Arial" w:hAnsi="Arial" w:cs="Arial"/>
        </w:rPr>
      </w:pPr>
      <w:r>
        <w:rPr>
          <w:rFonts w:ascii="Arial" w:hAnsi="Arial" w:cs="Arial"/>
        </w:rPr>
        <w:t>Pay distribution by gender – the proportion of men and women employees in the lower, lower middle, upper middle and upper quartile pay bands</w:t>
      </w:r>
    </w:p>
    <w:p w:rsidR="00C44BD1" w:rsidRPr="00F20A87" w:rsidRDefault="00810265" w:rsidP="00F20A87">
      <w:pPr>
        <w:spacing w:after="0" w:line="240" w:lineRule="auto"/>
        <w:rPr>
          <w:rFonts w:ascii="Arial" w:eastAsia="Times New Roman" w:hAnsi="Arial" w:cs="Arial"/>
          <w:b/>
          <w:bCs/>
          <w:color w:val="005EB8"/>
          <w:lang w:eastAsia="en-GB"/>
        </w:rPr>
      </w:pPr>
      <w:r>
        <w:rPr>
          <w:rFonts w:ascii="Arial" w:eastAsia="Times New Roman" w:hAnsi="Arial" w:cs="Arial"/>
          <w:b/>
          <w:bCs/>
          <w:color w:val="005EB8"/>
          <w:lang w:eastAsia="en-GB"/>
        </w:rPr>
        <w:t xml:space="preserve">         </w:t>
      </w:r>
    </w:p>
    <w:p w:rsidR="00C44BD1" w:rsidRPr="00DD4391" w:rsidRDefault="00B00911" w:rsidP="00B00911">
      <w:pPr>
        <w:pStyle w:val="ListParagraph"/>
        <w:numPr>
          <w:ilvl w:val="0"/>
          <w:numId w:val="22"/>
        </w:numPr>
        <w:rPr>
          <w:rFonts w:ascii="Arial" w:eastAsia="Times New Roman" w:hAnsi="Arial" w:cs="Arial"/>
          <w:b/>
          <w:color w:val="000000" w:themeColor="text1"/>
          <w:lang w:eastAsia="en-GB"/>
        </w:rPr>
      </w:pPr>
      <w:r w:rsidRPr="00DD4391">
        <w:rPr>
          <w:rFonts w:ascii="Arial" w:eastAsia="Times New Roman" w:hAnsi="Arial" w:cs="Arial"/>
          <w:b/>
          <w:color w:val="000000" w:themeColor="text1"/>
          <w:lang w:eastAsia="en-GB"/>
        </w:rPr>
        <w:t xml:space="preserve"> Mean and median ordinary pay</w:t>
      </w:r>
    </w:p>
    <w:p w:rsidR="00B00911" w:rsidRPr="00B00911" w:rsidRDefault="00B00911" w:rsidP="00B00911">
      <w:pPr>
        <w:spacing w:after="0" w:line="240" w:lineRule="auto"/>
        <w:ind w:left="720"/>
        <w:rPr>
          <w:rFonts w:ascii="Arial" w:eastAsia="Times New Roman" w:hAnsi="Arial" w:cs="Arial"/>
          <w:b/>
          <w:bCs/>
          <w:lang w:eastAsia="en-GB"/>
        </w:rPr>
      </w:pPr>
      <w:r>
        <w:rPr>
          <w:noProof/>
          <w:lang w:eastAsia="en-GB"/>
        </w:rPr>
        <w:drawing>
          <wp:inline distT="0" distB="0" distL="0" distR="0" wp14:anchorId="4D760F64" wp14:editId="430ED8E7">
            <wp:extent cx="2781300" cy="1835150"/>
            <wp:effectExtent l="0" t="0" r="0" b="12700"/>
            <wp:docPr id="3" name="Chart 3">
              <a:extLst xmlns:a="http://schemas.openxmlformats.org/drawingml/2006/main">
                <a:ext uri="{FF2B5EF4-FFF2-40B4-BE49-F238E27FC236}">
                  <a16:creationId xmlns:a16="http://schemas.microsoft.com/office/drawing/2014/main" id="{0CA4F0C3-2965-47D5-90E0-241709ECE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00911">
        <w:rPr>
          <w:noProof/>
        </w:rPr>
        <w:t xml:space="preserve"> </w:t>
      </w:r>
      <w:r>
        <w:rPr>
          <w:noProof/>
          <w:lang w:eastAsia="en-GB"/>
        </w:rPr>
        <w:drawing>
          <wp:inline distT="0" distB="0" distL="0" distR="0" wp14:anchorId="1200D4C9" wp14:editId="41D0831E">
            <wp:extent cx="2946400" cy="1822450"/>
            <wp:effectExtent l="0" t="0" r="6350" b="6350"/>
            <wp:docPr id="4" name="Chart 4">
              <a:extLst xmlns:a="http://schemas.openxmlformats.org/drawingml/2006/main">
                <a:ext uri="{FF2B5EF4-FFF2-40B4-BE49-F238E27FC236}">
                  <a16:creationId xmlns:a16="http://schemas.microsoft.com/office/drawing/2014/main" id="{52F8F3FF-CF77-4EE6-9AD9-73E6F8D12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4BD1" w:rsidRDefault="00C44BD1" w:rsidP="00C44BD1">
      <w:pPr>
        <w:rPr>
          <w:rFonts w:ascii="Arial" w:eastAsia="Times New Roman" w:hAnsi="Arial" w:cs="Arial"/>
          <w:b/>
          <w:color w:val="005EB8"/>
          <w:lang w:eastAsia="en-GB"/>
        </w:rPr>
      </w:pPr>
    </w:p>
    <w:p w:rsidR="00B00911" w:rsidRPr="00B00911" w:rsidRDefault="00B00911" w:rsidP="00B00911">
      <w:pPr>
        <w:spacing w:after="0" w:line="240" w:lineRule="auto"/>
        <w:ind w:left="720"/>
        <w:rPr>
          <w:rFonts w:ascii="Arial" w:eastAsia="Times New Roman" w:hAnsi="Arial" w:cs="Arial"/>
          <w:bCs/>
          <w:color w:val="000000" w:themeColor="text1"/>
          <w:lang w:eastAsia="en-GB"/>
        </w:rPr>
      </w:pPr>
      <w:r w:rsidRPr="00B00911">
        <w:rPr>
          <w:rFonts w:ascii="Arial" w:eastAsia="Times New Roman" w:hAnsi="Arial" w:cs="Arial"/>
          <w:bCs/>
          <w:color w:val="000000" w:themeColor="text1"/>
          <w:lang w:eastAsia="en-GB"/>
        </w:rPr>
        <w:t xml:space="preserve">The </w:t>
      </w:r>
      <w:r w:rsidR="00A51EBF">
        <w:rPr>
          <w:rFonts w:ascii="Arial" w:eastAsia="Times New Roman" w:hAnsi="Arial" w:cs="Arial"/>
          <w:bCs/>
          <w:color w:val="000000" w:themeColor="text1"/>
          <w:lang w:eastAsia="en-GB"/>
        </w:rPr>
        <w:t>t</w:t>
      </w:r>
      <w:r w:rsidRPr="00B00911">
        <w:rPr>
          <w:rFonts w:ascii="Arial" w:eastAsia="Times New Roman" w:hAnsi="Arial" w:cs="Arial"/>
          <w:bCs/>
          <w:color w:val="000000" w:themeColor="text1"/>
          <w:lang w:eastAsia="en-GB"/>
        </w:rPr>
        <w:t xml:space="preserve">rust </w:t>
      </w:r>
      <w:r w:rsidR="00A51EBF">
        <w:rPr>
          <w:rFonts w:ascii="Arial" w:eastAsia="Times New Roman" w:hAnsi="Arial" w:cs="Arial"/>
          <w:bCs/>
          <w:color w:val="000000" w:themeColor="text1"/>
          <w:lang w:eastAsia="en-GB"/>
        </w:rPr>
        <w:t>m</w:t>
      </w:r>
      <w:r w:rsidRPr="00B00911">
        <w:rPr>
          <w:rFonts w:ascii="Arial" w:eastAsia="Times New Roman" w:hAnsi="Arial" w:cs="Arial"/>
          <w:bCs/>
          <w:color w:val="000000" w:themeColor="text1"/>
          <w:lang w:eastAsia="en-GB"/>
        </w:rPr>
        <w:t>ean gender pay gap indicates that women earn 2</w:t>
      </w:r>
      <w:r>
        <w:rPr>
          <w:rFonts w:ascii="Arial" w:eastAsia="Times New Roman" w:hAnsi="Arial" w:cs="Arial"/>
          <w:bCs/>
          <w:color w:val="000000" w:themeColor="text1"/>
          <w:lang w:eastAsia="en-GB"/>
        </w:rPr>
        <w:t>4</w:t>
      </w:r>
      <w:r w:rsidRPr="00B00911">
        <w:rPr>
          <w:rFonts w:ascii="Arial" w:eastAsia="Times New Roman" w:hAnsi="Arial" w:cs="Arial"/>
          <w:bCs/>
          <w:color w:val="000000" w:themeColor="text1"/>
          <w:lang w:eastAsia="en-GB"/>
        </w:rPr>
        <w:t>% less than men for the reporting period</w:t>
      </w:r>
      <w:r w:rsidR="00784FB2">
        <w:rPr>
          <w:rFonts w:ascii="Arial" w:eastAsia="Times New Roman" w:hAnsi="Arial" w:cs="Arial"/>
          <w:bCs/>
          <w:color w:val="000000" w:themeColor="text1"/>
          <w:lang w:eastAsia="en-GB"/>
        </w:rPr>
        <w:t xml:space="preserve"> compared to 29% in</w:t>
      </w:r>
      <w:r w:rsidRPr="00B00911">
        <w:rPr>
          <w:rFonts w:ascii="Arial" w:eastAsia="Times New Roman" w:hAnsi="Arial" w:cs="Arial"/>
          <w:bCs/>
          <w:color w:val="000000" w:themeColor="text1"/>
          <w:lang w:eastAsia="en-GB"/>
        </w:rPr>
        <w:t xml:space="preserve"> 2018</w:t>
      </w:r>
      <w:r w:rsidR="00784FB2">
        <w:rPr>
          <w:rFonts w:ascii="Arial" w:eastAsia="Times New Roman" w:hAnsi="Arial" w:cs="Arial"/>
          <w:bCs/>
          <w:color w:val="000000" w:themeColor="text1"/>
          <w:lang w:eastAsia="en-GB"/>
        </w:rPr>
        <w:t>.</w:t>
      </w:r>
      <w:r w:rsidRPr="00B00911">
        <w:rPr>
          <w:rFonts w:ascii="Arial" w:eastAsia="Times New Roman" w:hAnsi="Arial" w:cs="Arial"/>
          <w:bCs/>
          <w:color w:val="000000" w:themeColor="text1"/>
          <w:lang w:eastAsia="en-GB"/>
        </w:rPr>
        <w:t xml:space="preserve"> </w:t>
      </w:r>
      <w:r w:rsidR="00784FB2">
        <w:rPr>
          <w:rFonts w:ascii="Arial" w:eastAsia="Times New Roman" w:hAnsi="Arial" w:cs="Arial"/>
          <w:bCs/>
          <w:color w:val="000000" w:themeColor="text1"/>
          <w:lang w:eastAsia="en-GB"/>
        </w:rPr>
        <w:t>T</w:t>
      </w:r>
      <w:r w:rsidRPr="00B00911">
        <w:rPr>
          <w:rFonts w:ascii="Arial" w:eastAsia="Times New Roman" w:hAnsi="Arial" w:cs="Arial"/>
          <w:bCs/>
          <w:color w:val="000000" w:themeColor="text1"/>
          <w:lang w:eastAsia="en-GB"/>
        </w:rPr>
        <w:t>he median pay gap indicates that women earn 1</w:t>
      </w:r>
      <w:r>
        <w:rPr>
          <w:rFonts w:ascii="Arial" w:eastAsia="Times New Roman" w:hAnsi="Arial" w:cs="Arial"/>
          <w:bCs/>
          <w:color w:val="000000" w:themeColor="text1"/>
          <w:lang w:eastAsia="en-GB"/>
        </w:rPr>
        <w:t>6</w:t>
      </w:r>
      <w:r w:rsidRPr="00B00911">
        <w:rPr>
          <w:rFonts w:ascii="Arial" w:eastAsia="Times New Roman" w:hAnsi="Arial" w:cs="Arial"/>
          <w:bCs/>
          <w:color w:val="000000" w:themeColor="text1"/>
          <w:lang w:eastAsia="en-GB"/>
        </w:rPr>
        <w:t xml:space="preserve">% less than men, an improvement from the previous reporting periods. The high pay difference is partly due to medical &amp; dental staff being the highest paid staff group. </w:t>
      </w:r>
    </w:p>
    <w:p w:rsidR="00B00911" w:rsidRDefault="00B00911" w:rsidP="00B00911">
      <w:pPr>
        <w:spacing w:after="0" w:line="240" w:lineRule="auto"/>
        <w:rPr>
          <w:rFonts w:ascii="Arial" w:eastAsia="Times New Roman" w:hAnsi="Arial" w:cs="Arial"/>
          <w:bCs/>
          <w:color w:val="000000" w:themeColor="text1"/>
          <w:lang w:eastAsia="en-GB"/>
        </w:rPr>
      </w:pPr>
    </w:p>
    <w:p w:rsidR="00B00911" w:rsidRDefault="00B00911" w:rsidP="00B00911">
      <w:pPr>
        <w:spacing w:after="0" w:line="240" w:lineRule="auto"/>
        <w:ind w:left="720"/>
        <w:rPr>
          <w:rFonts w:ascii="Arial" w:eastAsia="Times New Roman" w:hAnsi="Arial" w:cs="Arial"/>
          <w:bCs/>
          <w:color w:val="000000" w:themeColor="text1"/>
          <w:lang w:eastAsia="en-GB"/>
        </w:rPr>
      </w:pPr>
      <w:r w:rsidRPr="00B00911">
        <w:rPr>
          <w:rFonts w:ascii="Arial" w:eastAsia="Times New Roman" w:hAnsi="Arial" w:cs="Arial"/>
          <w:bCs/>
          <w:color w:val="000000" w:themeColor="text1"/>
          <w:lang w:eastAsia="en-GB"/>
        </w:rPr>
        <w:t xml:space="preserve">The tables below give a clear separation of medical and dental staff group </w:t>
      </w:r>
      <w:r w:rsidR="00784FB2">
        <w:rPr>
          <w:rFonts w:ascii="Arial" w:eastAsia="Times New Roman" w:hAnsi="Arial" w:cs="Arial"/>
          <w:bCs/>
          <w:color w:val="000000" w:themeColor="text1"/>
          <w:lang w:eastAsia="en-GB"/>
        </w:rPr>
        <w:t xml:space="preserve">when compared to </w:t>
      </w:r>
      <w:r w:rsidRPr="00B00911">
        <w:rPr>
          <w:rFonts w:ascii="Arial" w:eastAsia="Times New Roman" w:hAnsi="Arial" w:cs="Arial"/>
          <w:bCs/>
          <w:color w:val="000000" w:themeColor="text1"/>
          <w:lang w:eastAsia="en-GB"/>
        </w:rPr>
        <w:t>Agenda for Change (AFC) pay bands (</w:t>
      </w:r>
      <w:proofErr w:type="spellStart"/>
      <w:r w:rsidR="00784FB2">
        <w:rPr>
          <w:rFonts w:ascii="Arial" w:eastAsia="Times New Roman" w:hAnsi="Arial" w:cs="Arial"/>
          <w:bCs/>
          <w:color w:val="000000" w:themeColor="text1"/>
          <w:lang w:eastAsia="en-GB"/>
        </w:rPr>
        <w:t>inc</w:t>
      </w:r>
      <w:proofErr w:type="spellEnd"/>
      <w:r w:rsidR="00784FB2">
        <w:rPr>
          <w:rFonts w:ascii="Arial" w:eastAsia="Times New Roman" w:hAnsi="Arial" w:cs="Arial"/>
          <w:bCs/>
          <w:color w:val="000000" w:themeColor="text1"/>
          <w:lang w:eastAsia="en-GB"/>
        </w:rPr>
        <w:t xml:space="preserve"> </w:t>
      </w:r>
      <w:r w:rsidR="008679B1">
        <w:rPr>
          <w:rFonts w:ascii="Arial" w:eastAsia="Times New Roman" w:hAnsi="Arial" w:cs="Arial"/>
          <w:bCs/>
          <w:color w:val="000000" w:themeColor="text1"/>
          <w:lang w:eastAsia="en-GB"/>
        </w:rPr>
        <w:t xml:space="preserve">very senior managers - </w:t>
      </w:r>
      <w:r w:rsidR="00784FB2">
        <w:rPr>
          <w:rFonts w:ascii="Arial" w:eastAsia="Times New Roman" w:hAnsi="Arial" w:cs="Arial"/>
          <w:bCs/>
          <w:color w:val="000000" w:themeColor="text1"/>
          <w:lang w:eastAsia="en-GB"/>
        </w:rPr>
        <w:t>VSM</w:t>
      </w:r>
      <w:r w:rsidRPr="00B00911">
        <w:rPr>
          <w:rFonts w:ascii="Arial" w:eastAsia="Times New Roman" w:hAnsi="Arial" w:cs="Arial"/>
          <w:bCs/>
          <w:color w:val="000000" w:themeColor="text1"/>
          <w:lang w:eastAsia="en-GB"/>
        </w:rPr>
        <w:t xml:space="preserve">) for this reporting period only. </w:t>
      </w:r>
    </w:p>
    <w:p w:rsidR="00252C79" w:rsidRDefault="00252C79" w:rsidP="00D751BD">
      <w:pPr>
        <w:spacing w:after="0" w:line="240" w:lineRule="auto"/>
        <w:rPr>
          <w:rFonts w:ascii="Arial" w:eastAsia="Times New Roman" w:hAnsi="Arial" w:cs="Arial"/>
          <w:bCs/>
          <w:color w:val="000000" w:themeColor="text1"/>
          <w:lang w:eastAsia="en-GB"/>
        </w:rPr>
      </w:pPr>
      <w:r>
        <w:rPr>
          <w:rFonts w:ascii="Arial" w:eastAsia="Times New Roman" w:hAnsi="Arial" w:cs="Arial"/>
          <w:bCs/>
          <w:color w:val="000000" w:themeColor="text1"/>
          <w:lang w:eastAsia="en-GB"/>
        </w:rPr>
        <w:t xml:space="preserve">  </w:t>
      </w:r>
    </w:p>
    <w:tbl>
      <w:tblPr>
        <w:tblpPr w:leftFromText="180" w:rightFromText="180" w:vertAnchor="text" w:horzAnchor="margin" w:tblpXSpec="center" w:tblpY="102"/>
        <w:tblW w:w="8927" w:type="dxa"/>
        <w:tblLook w:val="04A0" w:firstRow="1" w:lastRow="0" w:firstColumn="1" w:lastColumn="0" w:noHBand="0" w:noVBand="1"/>
      </w:tblPr>
      <w:tblGrid>
        <w:gridCol w:w="974"/>
        <w:gridCol w:w="1559"/>
        <w:gridCol w:w="1697"/>
        <w:gridCol w:w="283"/>
        <w:gridCol w:w="1418"/>
        <w:gridCol w:w="1559"/>
        <w:gridCol w:w="1981"/>
      </w:tblGrid>
      <w:tr w:rsidR="00D751BD" w:rsidRPr="00D751BD" w:rsidTr="00784FB2">
        <w:trPr>
          <w:trHeight w:val="850"/>
        </w:trPr>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51BD" w:rsidRPr="00D751BD" w:rsidRDefault="00D751BD" w:rsidP="00784FB2">
            <w:pPr>
              <w:spacing w:after="0" w:line="240" w:lineRule="auto"/>
              <w:ind w:firstLine="32"/>
              <w:jc w:val="center"/>
              <w:rPr>
                <w:rFonts w:ascii="Arial" w:eastAsia="Times New Roman" w:hAnsi="Arial" w:cs="Arial"/>
                <w:b/>
                <w:bCs/>
                <w:color w:val="000000"/>
                <w:lang w:eastAsia="en-GB"/>
              </w:rPr>
            </w:pPr>
            <w:r w:rsidRPr="00D751BD">
              <w:rPr>
                <w:rFonts w:ascii="Arial" w:eastAsia="Times New Roman" w:hAnsi="Arial" w:cs="Arial"/>
                <w:b/>
                <w:bCs/>
                <w:color w:val="000000"/>
                <w:lang w:eastAsia="en-GB"/>
              </w:rPr>
              <w:t>AFC &amp;VSM</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751BD" w:rsidRPr="00D751BD" w:rsidRDefault="00D751BD" w:rsidP="00D751BD">
            <w:pPr>
              <w:spacing w:after="0" w:line="240" w:lineRule="auto"/>
              <w:rPr>
                <w:rFonts w:ascii="Arial" w:eastAsia="Times New Roman" w:hAnsi="Arial" w:cs="Arial"/>
                <w:b/>
                <w:bCs/>
                <w:color w:val="000000"/>
                <w:lang w:eastAsia="en-GB"/>
              </w:rPr>
            </w:pPr>
            <w:r w:rsidRPr="00D751BD">
              <w:rPr>
                <w:rFonts w:ascii="Arial" w:eastAsia="Times New Roman" w:hAnsi="Arial" w:cs="Arial"/>
                <w:b/>
                <w:bCs/>
                <w:color w:val="000000"/>
                <w:lang w:eastAsia="en-GB"/>
              </w:rPr>
              <w:t>Mean Hourly Rate</w:t>
            </w:r>
          </w:p>
        </w:tc>
        <w:tc>
          <w:tcPr>
            <w:tcW w:w="1697" w:type="dxa"/>
            <w:tcBorders>
              <w:top w:val="single" w:sz="4" w:space="0" w:color="auto"/>
              <w:left w:val="nil"/>
              <w:bottom w:val="single" w:sz="4" w:space="0" w:color="auto"/>
              <w:right w:val="single" w:sz="4" w:space="0" w:color="auto"/>
            </w:tcBorders>
            <w:shd w:val="clear" w:color="auto" w:fill="auto"/>
            <w:vAlign w:val="bottom"/>
            <w:hideMark/>
          </w:tcPr>
          <w:p w:rsidR="00D751BD" w:rsidRPr="00D751BD" w:rsidRDefault="00D751BD" w:rsidP="00D751BD">
            <w:pPr>
              <w:spacing w:after="0" w:line="240" w:lineRule="auto"/>
              <w:rPr>
                <w:rFonts w:ascii="Arial" w:eastAsia="Times New Roman" w:hAnsi="Arial" w:cs="Arial"/>
                <w:b/>
                <w:bCs/>
                <w:color w:val="000000"/>
                <w:lang w:eastAsia="en-GB"/>
              </w:rPr>
            </w:pPr>
            <w:r w:rsidRPr="00D751BD">
              <w:rPr>
                <w:rFonts w:ascii="Arial" w:eastAsia="Times New Roman" w:hAnsi="Arial" w:cs="Arial"/>
                <w:b/>
                <w:bCs/>
                <w:color w:val="000000"/>
                <w:lang w:eastAsia="en-GB"/>
              </w:rPr>
              <w:t>Median Hourly Rate</w:t>
            </w:r>
          </w:p>
        </w:tc>
        <w:tc>
          <w:tcPr>
            <w:tcW w:w="283" w:type="dxa"/>
            <w:tcBorders>
              <w:top w:val="nil"/>
              <w:left w:val="nil"/>
              <w:bottom w:val="nil"/>
              <w:right w:val="nil"/>
            </w:tcBorders>
            <w:shd w:val="clear" w:color="auto" w:fill="auto"/>
            <w:noWrap/>
            <w:vAlign w:val="bottom"/>
            <w:hideMark/>
          </w:tcPr>
          <w:p w:rsidR="00D751BD" w:rsidRPr="00D751BD" w:rsidRDefault="00D751BD" w:rsidP="00D751BD">
            <w:pPr>
              <w:spacing w:after="0" w:line="240" w:lineRule="auto"/>
              <w:rPr>
                <w:rFonts w:ascii="Arial" w:eastAsia="Times New Roman" w:hAnsi="Arial" w:cs="Arial"/>
                <w:b/>
                <w:bCs/>
                <w:color w:val="000000"/>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51BD" w:rsidRPr="00D751BD" w:rsidRDefault="00D751BD" w:rsidP="00D751BD">
            <w:pPr>
              <w:spacing w:after="0" w:line="240" w:lineRule="auto"/>
              <w:jc w:val="center"/>
              <w:rPr>
                <w:rFonts w:ascii="Arial" w:eastAsia="Times New Roman" w:hAnsi="Arial" w:cs="Arial"/>
                <w:b/>
                <w:bCs/>
                <w:color w:val="000000"/>
                <w:lang w:eastAsia="en-GB"/>
              </w:rPr>
            </w:pPr>
            <w:r w:rsidRPr="00D751BD">
              <w:rPr>
                <w:rFonts w:ascii="Arial" w:eastAsia="Times New Roman" w:hAnsi="Arial" w:cs="Arial"/>
                <w:b/>
                <w:bCs/>
                <w:color w:val="000000"/>
                <w:lang w:eastAsia="en-GB"/>
              </w:rPr>
              <w:t>M&amp;D only</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751BD" w:rsidRPr="00D751BD" w:rsidRDefault="00D751BD" w:rsidP="00D751BD">
            <w:pPr>
              <w:spacing w:after="0" w:line="240" w:lineRule="auto"/>
              <w:rPr>
                <w:rFonts w:ascii="Arial" w:eastAsia="Times New Roman" w:hAnsi="Arial" w:cs="Arial"/>
                <w:b/>
                <w:bCs/>
                <w:color w:val="000000"/>
                <w:lang w:eastAsia="en-GB"/>
              </w:rPr>
            </w:pPr>
            <w:r w:rsidRPr="00D751BD">
              <w:rPr>
                <w:rFonts w:ascii="Arial" w:eastAsia="Times New Roman" w:hAnsi="Arial" w:cs="Arial"/>
                <w:b/>
                <w:bCs/>
                <w:color w:val="000000"/>
                <w:lang w:eastAsia="en-GB"/>
              </w:rPr>
              <w:t>Mean Hourly Rate</w:t>
            </w:r>
          </w:p>
        </w:tc>
        <w:tc>
          <w:tcPr>
            <w:tcW w:w="1981" w:type="dxa"/>
            <w:tcBorders>
              <w:top w:val="single" w:sz="4" w:space="0" w:color="auto"/>
              <w:left w:val="nil"/>
              <w:bottom w:val="single" w:sz="4" w:space="0" w:color="auto"/>
              <w:right w:val="single" w:sz="4" w:space="0" w:color="auto"/>
            </w:tcBorders>
            <w:shd w:val="clear" w:color="auto" w:fill="auto"/>
            <w:vAlign w:val="bottom"/>
            <w:hideMark/>
          </w:tcPr>
          <w:p w:rsidR="00D751BD" w:rsidRPr="00D751BD" w:rsidRDefault="00D751BD" w:rsidP="00D751BD">
            <w:pPr>
              <w:spacing w:after="0" w:line="240" w:lineRule="auto"/>
              <w:rPr>
                <w:rFonts w:ascii="Arial" w:eastAsia="Times New Roman" w:hAnsi="Arial" w:cs="Arial"/>
                <w:b/>
                <w:bCs/>
                <w:color w:val="000000"/>
                <w:lang w:eastAsia="en-GB"/>
              </w:rPr>
            </w:pPr>
            <w:r w:rsidRPr="00D751BD">
              <w:rPr>
                <w:rFonts w:ascii="Arial" w:eastAsia="Times New Roman" w:hAnsi="Arial" w:cs="Arial"/>
                <w:b/>
                <w:bCs/>
                <w:color w:val="000000"/>
                <w:lang w:eastAsia="en-GB"/>
              </w:rPr>
              <w:t>Median Hourly Rate</w:t>
            </w:r>
          </w:p>
        </w:tc>
      </w:tr>
      <w:tr w:rsidR="00D751BD" w:rsidRPr="00D751BD" w:rsidTr="00784FB2">
        <w:trPr>
          <w:trHeight w:val="29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rPr>
                <w:rFonts w:ascii="Arial" w:eastAsia="Times New Roman" w:hAnsi="Arial" w:cs="Arial"/>
                <w:color w:val="000000"/>
                <w:lang w:eastAsia="en-GB"/>
              </w:rPr>
            </w:pPr>
            <w:r w:rsidRPr="00D751BD">
              <w:rPr>
                <w:rFonts w:ascii="Arial" w:eastAsia="Times New Roman" w:hAnsi="Arial" w:cs="Arial"/>
                <w:color w:val="000000"/>
                <w:lang w:eastAsia="en-GB"/>
              </w:rPr>
              <w:t>Men</w:t>
            </w:r>
          </w:p>
        </w:tc>
        <w:tc>
          <w:tcPr>
            <w:tcW w:w="1559"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£17.08</w:t>
            </w:r>
          </w:p>
        </w:tc>
        <w:tc>
          <w:tcPr>
            <w:tcW w:w="1697"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£14.46</w:t>
            </w:r>
          </w:p>
        </w:tc>
        <w:tc>
          <w:tcPr>
            <w:tcW w:w="283" w:type="dxa"/>
            <w:tcBorders>
              <w:top w:val="nil"/>
              <w:left w:val="nil"/>
              <w:bottom w:val="nil"/>
              <w:right w:val="nil"/>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rPr>
                <w:rFonts w:ascii="Arial" w:eastAsia="Times New Roman" w:hAnsi="Arial" w:cs="Arial"/>
                <w:color w:val="000000"/>
                <w:lang w:eastAsia="en-GB"/>
              </w:rPr>
            </w:pPr>
            <w:r w:rsidRPr="00D751BD">
              <w:rPr>
                <w:rFonts w:ascii="Arial" w:eastAsia="Times New Roman" w:hAnsi="Arial" w:cs="Arial"/>
                <w:color w:val="000000"/>
                <w:lang w:eastAsia="en-GB"/>
              </w:rPr>
              <w:t>Men</w:t>
            </w:r>
          </w:p>
        </w:tc>
        <w:tc>
          <w:tcPr>
            <w:tcW w:w="1559"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£36.91</w:t>
            </w:r>
          </w:p>
        </w:tc>
        <w:tc>
          <w:tcPr>
            <w:tcW w:w="1981"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£35.44</w:t>
            </w:r>
          </w:p>
        </w:tc>
      </w:tr>
      <w:tr w:rsidR="00D751BD" w:rsidRPr="00D751BD" w:rsidTr="00784FB2">
        <w:trPr>
          <w:trHeight w:val="29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rPr>
                <w:rFonts w:ascii="Arial" w:eastAsia="Times New Roman" w:hAnsi="Arial" w:cs="Arial"/>
                <w:color w:val="000000"/>
                <w:lang w:eastAsia="en-GB"/>
              </w:rPr>
            </w:pPr>
            <w:r w:rsidRPr="00D751BD">
              <w:rPr>
                <w:rFonts w:ascii="Arial" w:eastAsia="Times New Roman" w:hAnsi="Arial" w:cs="Arial"/>
                <w:color w:val="000000"/>
                <w:lang w:eastAsia="en-GB"/>
              </w:rPr>
              <w:t>Women</w:t>
            </w:r>
          </w:p>
        </w:tc>
        <w:tc>
          <w:tcPr>
            <w:tcW w:w="1559"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£16.94</w:t>
            </w:r>
          </w:p>
        </w:tc>
        <w:tc>
          <w:tcPr>
            <w:tcW w:w="1697"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£15.21</w:t>
            </w:r>
          </w:p>
        </w:tc>
        <w:tc>
          <w:tcPr>
            <w:tcW w:w="283" w:type="dxa"/>
            <w:tcBorders>
              <w:top w:val="nil"/>
              <w:left w:val="nil"/>
              <w:bottom w:val="nil"/>
              <w:right w:val="nil"/>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rPr>
                <w:rFonts w:ascii="Arial" w:eastAsia="Times New Roman" w:hAnsi="Arial" w:cs="Arial"/>
                <w:color w:val="000000"/>
                <w:lang w:eastAsia="en-GB"/>
              </w:rPr>
            </w:pPr>
            <w:r w:rsidRPr="00D751BD">
              <w:rPr>
                <w:rFonts w:ascii="Arial" w:eastAsia="Times New Roman" w:hAnsi="Arial" w:cs="Arial"/>
                <w:color w:val="000000"/>
                <w:lang w:eastAsia="en-GB"/>
              </w:rPr>
              <w:t>Women</w:t>
            </w:r>
          </w:p>
        </w:tc>
        <w:tc>
          <w:tcPr>
            <w:tcW w:w="1559"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£33.09</w:t>
            </w:r>
          </w:p>
        </w:tc>
        <w:tc>
          <w:tcPr>
            <w:tcW w:w="1981" w:type="dxa"/>
            <w:tcBorders>
              <w:top w:val="nil"/>
              <w:left w:val="nil"/>
              <w:bottom w:val="single" w:sz="4" w:space="0" w:color="auto"/>
              <w:right w:val="single" w:sz="4" w:space="0" w:color="auto"/>
            </w:tcBorders>
            <w:shd w:val="clear" w:color="auto" w:fill="auto"/>
            <w:noWrap/>
            <w:vAlign w:val="bottom"/>
            <w:hideMark/>
          </w:tcPr>
          <w:p w:rsidR="00D751BD" w:rsidRPr="00D751BD" w:rsidRDefault="00D751BD" w:rsidP="00D751BD">
            <w:pPr>
              <w:spacing w:after="0" w:line="240" w:lineRule="auto"/>
              <w:jc w:val="right"/>
              <w:rPr>
                <w:rFonts w:ascii="Arial" w:eastAsia="Times New Roman" w:hAnsi="Arial" w:cs="Arial"/>
                <w:color w:val="000000"/>
                <w:lang w:eastAsia="en-GB"/>
              </w:rPr>
            </w:pPr>
            <w:r w:rsidRPr="00D751BD">
              <w:rPr>
                <w:rFonts w:ascii="Arial" w:eastAsia="Times New Roman" w:hAnsi="Arial" w:cs="Arial"/>
                <w:color w:val="000000"/>
                <w:lang w:eastAsia="en-GB"/>
              </w:rPr>
              <w:t>£30.11</w:t>
            </w:r>
          </w:p>
        </w:tc>
      </w:tr>
    </w:tbl>
    <w:p w:rsidR="00993502" w:rsidRDefault="00993502" w:rsidP="00784FB2">
      <w:pPr>
        <w:spacing w:after="0" w:line="240" w:lineRule="auto"/>
        <w:rPr>
          <w:rFonts w:ascii="Arial" w:eastAsia="Times New Roman" w:hAnsi="Arial" w:cs="Arial"/>
          <w:bCs/>
          <w:color w:val="000000" w:themeColor="text1"/>
          <w:lang w:eastAsia="en-GB"/>
        </w:rPr>
      </w:pPr>
    </w:p>
    <w:p w:rsidR="00993502" w:rsidRDefault="00D751BD" w:rsidP="00B00911">
      <w:pPr>
        <w:spacing w:after="0" w:line="240" w:lineRule="auto"/>
        <w:ind w:left="720"/>
        <w:rPr>
          <w:rFonts w:ascii="Arial" w:eastAsia="Times New Roman" w:hAnsi="Arial" w:cs="Arial"/>
          <w:bCs/>
          <w:color w:val="000000" w:themeColor="text1"/>
          <w:lang w:eastAsia="en-GB"/>
        </w:rPr>
      </w:pPr>
      <w:r>
        <w:rPr>
          <w:rFonts w:ascii="Arial" w:eastAsia="Times New Roman" w:hAnsi="Arial" w:cs="Arial"/>
          <w:bCs/>
          <w:color w:val="000000" w:themeColor="text1"/>
          <w:lang w:eastAsia="en-GB"/>
        </w:rPr>
        <w:t xml:space="preserve">The mean pay gap for Agenda for Change pay band including VSM, show </w:t>
      </w:r>
      <w:r w:rsidR="008679B1">
        <w:rPr>
          <w:rFonts w:ascii="Arial" w:eastAsia="Times New Roman" w:hAnsi="Arial" w:cs="Arial"/>
          <w:bCs/>
          <w:color w:val="000000" w:themeColor="text1"/>
          <w:lang w:eastAsia="en-GB"/>
        </w:rPr>
        <w:t xml:space="preserve">the </w:t>
      </w:r>
      <w:r>
        <w:rPr>
          <w:rFonts w:ascii="Arial" w:eastAsia="Times New Roman" w:hAnsi="Arial" w:cs="Arial"/>
          <w:bCs/>
          <w:color w:val="000000" w:themeColor="text1"/>
          <w:lang w:eastAsia="en-GB"/>
        </w:rPr>
        <w:t xml:space="preserve">mean hourly rate women </w:t>
      </w:r>
      <w:r w:rsidRPr="00F84C00">
        <w:rPr>
          <w:rFonts w:ascii="Arial" w:eastAsia="Times New Roman" w:hAnsi="Arial" w:cs="Arial"/>
          <w:bCs/>
          <w:color w:val="000000" w:themeColor="text1"/>
          <w:lang w:eastAsia="en-GB"/>
        </w:rPr>
        <w:t xml:space="preserve">earn </w:t>
      </w:r>
      <w:r w:rsidR="008679B1">
        <w:rPr>
          <w:rFonts w:ascii="Arial" w:eastAsia="Times New Roman" w:hAnsi="Arial" w:cs="Arial"/>
          <w:bCs/>
          <w:color w:val="000000" w:themeColor="text1"/>
          <w:lang w:eastAsia="en-GB"/>
        </w:rPr>
        <w:t xml:space="preserve">is </w:t>
      </w:r>
      <w:r>
        <w:rPr>
          <w:rFonts w:ascii="Arial" w:eastAsia="Times New Roman" w:hAnsi="Arial" w:cs="Arial"/>
          <w:bCs/>
          <w:color w:val="000000" w:themeColor="text1"/>
          <w:lang w:eastAsia="en-GB"/>
        </w:rPr>
        <w:t>1</w:t>
      </w:r>
      <w:r w:rsidRPr="00F84C00">
        <w:rPr>
          <w:rFonts w:ascii="Arial" w:eastAsia="Times New Roman" w:hAnsi="Arial" w:cs="Arial"/>
          <w:bCs/>
          <w:color w:val="000000" w:themeColor="text1"/>
          <w:lang w:eastAsia="en-GB"/>
        </w:rPr>
        <w:t xml:space="preserve">% </w:t>
      </w:r>
      <w:r>
        <w:rPr>
          <w:rFonts w:ascii="Arial" w:eastAsia="Times New Roman" w:hAnsi="Arial" w:cs="Arial"/>
          <w:bCs/>
          <w:color w:val="000000" w:themeColor="text1"/>
          <w:lang w:eastAsia="en-GB"/>
        </w:rPr>
        <w:t>less than men and the median pay show</w:t>
      </w:r>
      <w:r w:rsidR="008679B1">
        <w:rPr>
          <w:rFonts w:ascii="Arial" w:eastAsia="Times New Roman" w:hAnsi="Arial" w:cs="Arial"/>
          <w:bCs/>
          <w:color w:val="000000" w:themeColor="text1"/>
          <w:lang w:eastAsia="en-GB"/>
        </w:rPr>
        <w:t>s</w:t>
      </w:r>
      <w:r>
        <w:rPr>
          <w:rFonts w:ascii="Arial" w:eastAsia="Times New Roman" w:hAnsi="Arial" w:cs="Arial"/>
          <w:bCs/>
          <w:color w:val="000000" w:themeColor="text1"/>
          <w:lang w:eastAsia="en-GB"/>
        </w:rPr>
        <w:t xml:space="preserve"> that women </w:t>
      </w:r>
      <w:r w:rsidRPr="00F84C00">
        <w:rPr>
          <w:rFonts w:ascii="Arial" w:eastAsia="Times New Roman" w:hAnsi="Arial" w:cs="Arial"/>
          <w:bCs/>
          <w:color w:val="000000" w:themeColor="text1"/>
          <w:lang w:eastAsia="en-GB"/>
        </w:rPr>
        <w:t>earn 5%</w:t>
      </w:r>
      <w:r>
        <w:rPr>
          <w:rFonts w:ascii="Arial" w:eastAsia="Times New Roman" w:hAnsi="Arial" w:cs="Arial"/>
          <w:bCs/>
          <w:color w:val="000000" w:themeColor="text1"/>
          <w:lang w:eastAsia="en-GB"/>
        </w:rPr>
        <w:t xml:space="preserve"> more than men. </w:t>
      </w:r>
      <w:r w:rsidR="008679B1">
        <w:rPr>
          <w:rFonts w:ascii="Arial" w:eastAsia="Times New Roman" w:hAnsi="Arial" w:cs="Arial"/>
          <w:bCs/>
          <w:color w:val="000000" w:themeColor="text1"/>
          <w:lang w:eastAsia="en-GB"/>
        </w:rPr>
        <w:t>Within</w:t>
      </w:r>
      <w:r>
        <w:rPr>
          <w:rFonts w:ascii="Arial" w:eastAsia="Times New Roman" w:hAnsi="Arial" w:cs="Arial"/>
          <w:bCs/>
          <w:color w:val="000000" w:themeColor="text1"/>
          <w:lang w:eastAsia="en-GB"/>
        </w:rPr>
        <w:t xml:space="preserve"> medical and dental staff, the mean and median pay gap indicate</w:t>
      </w:r>
      <w:r w:rsidR="008679B1">
        <w:rPr>
          <w:rFonts w:ascii="Arial" w:eastAsia="Times New Roman" w:hAnsi="Arial" w:cs="Arial"/>
          <w:bCs/>
          <w:color w:val="000000" w:themeColor="text1"/>
          <w:lang w:eastAsia="en-GB"/>
        </w:rPr>
        <w:t>s that</w:t>
      </w:r>
      <w:r>
        <w:rPr>
          <w:rFonts w:ascii="Arial" w:eastAsia="Times New Roman" w:hAnsi="Arial" w:cs="Arial"/>
          <w:bCs/>
          <w:color w:val="000000" w:themeColor="text1"/>
          <w:lang w:eastAsia="en-GB"/>
        </w:rPr>
        <w:t xml:space="preserve"> women </w:t>
      </w:r>
      <w:r w:rsidRPr="00F84C00">
        <w:rPr>
          <w:rFonts w:ascii="Arial" w:eastAsia="Times New Roman" w:hAnsi="Arial" w:cs="Arial"/>
          <w:bCs/>
          <w:color w:val="000000" w:themeColor="text1"/>
          <w:lang w:eastAsia="en-GB"/>
        </w:rPr>
        <w:t>earn 1</w:t>
      </w:r>
      <w:r>
        <w:rPr>
          <w:rFonts w:ascii="Arial" w:eastAsia="Times New Roman" w:hAnsi="Arial" w:cs="Arial"/>
          <w:bCs/>
          <w:color w:val="000000" w:themeColor="text1"/>
          <w:lang w:eastAsia="en-GB"/>
        </w:rPr>
        <w:t>0</w:t>
      </w:r>
      <w:r w:rsidRPr="00F84C00">
        <w:rPr>
          <w:rFonts w:ascii="Arial" w:eastAsia="Times New Roman" w:hAnsi="Arial" w:cs="Arial"/>
          <w:bCs/>
          <w:color w:val="000000" w:themeColor="text1"/>
          <w:lang w:eastAsia="en-GB"/>
        </w:rPr>
        <w:t xml:space="preserve">% and </w:t>
      </w:r>
      <w:r>
        <w:rPr>
          <w:rFonts w:ascii="Arial" w:eastAsia="Times New Roman" w:hAnsi="Arial" w:cs="Arial"/>
          <w:bCs/>
          <w:color w:val="000000" w:themeColor="text1"/>
          <w:lang w:eastAsia="en-GB"/>
        </w:rPr>
        <w:t>15</w:t>
      </w:r>
      <w:r w:rsidRPr="00F84C00">
        <w:rPr>
          <w:rFonts w:ascii="Arial" w:eastAsia="Times New Roman" w:hAnsi="Arial" w:cs="Arial"/>
          <w:bCs/>
          <w:color w:val="000000" w:themeColor="text1"/>
          <w:lang w:eastAsia="en-GB"/>
        </w:rPr>
        <w:t>% less</w:t>
      </w:r>
      <w:r>
        <w:rPr>
          <w:rFonts w:ascii="Arial" w:eastAsia="Times New Roman" w:hAnsi="Arial" w:cs="Arial"/>
          <w:bCs/>
          <w:color w:val="000000" w:themeColor="text1"/>
          <w:lang w:eastAsia="en-GB"/>
        </w:rPr>
        <w:t xml:space="preserve"> </w:t>
      </w:r>
      <w:r w:rsidR="008679B1">
        <w:rPr>
          <w:rFonts w:ascii="Arial" w:eastAsia="Times New Roman" w:hAnsi="Arial" w:cs="Arial"/>
          <w:bCs/>
          <w:color w:val="000000" w:themeColor="text1"/>
          <w:lang w:eastAsia="en-GB"/>
        </w:rPr>
        <w:t xml:space="preserve">respectively </w:t>
      </w:r>
      <w:r>
        <w:rPr>
          <w:rFonts w:ascii="Arial" w:eastAsia="Times New Roman" w:hAnsi="Arial" w:cs="Arial"/>
          <w:bCs/>
          <w:color w:val="000000" w:themeColor="text1"/>
          <w:lang w:eastAsia="en-GB"/>
        </w:rPr>
        <w:t>than men</w:t>
      </w:r>
      <w:r w:rsidR="008679B1">
        <w:rPr>
          <w:rFonts w:ascii="Arial" w:eastAsia="Times New Roman" w:hAnsi="Arial" w:cs="Arial"/>
          <w:bCs/>
          <w:color w:val="000000" w:themeColor="text1"/>
          <w:lang w:eastAsia="en-GB"/>
        </w:rPr>
        <w:t>.</w:t>
      </w:r>
      <w:r>
        <w:rPr>
          <w:rFonts w:ascii="Arial" w:eastAsia="Times New Roman" w:hAnsi="Arial" w:cs="Arial"/>
          <w:bCs/>
          <w:color w:val="000000" w:themeColor="text1"/>
          <w:lang w:eastAsia="en-GB"/>
        </w:rPr>
        <w:t xml:space="preserve"> </w:t>
      </w:r>
    </w:p>
    <w:p w:rsidR="00B00911" w:rsidRDefault="00B00911" w:rsidP="00306483">
      <w:pPr>
        <w:spacing w:after="0" w:line="240" w:lineRule="auto"/>
        <w:rPr>
          <w:rFonts w:ascii="Arial" w:eastAsia="Times New Roman" w:hAnsi="Arial" w:cs="Arial"/>
          <w:bCs/>
          <w:color w:val="000000" w:themeColor="text1"/>
          <w:lang w:eastAsia="en-GB"/>
        </w:rPr>
      </w:pPr>
    </w:p>
    <w:p w:rsidR="00B00911" w:rsidRPr="00DD4391" w:rsidRDefault="00B00911" w:rsidP="00B00911">
      <w:pPr>
        <w:pStyle w:val="ListParagraph"/>
        <w:numPr>
          <w:ilvl w:val="0"/>
          <w:numId w:val="22"/>
        </w:numPr>
        <w:spacing w:after="0" w:line="240" w:lineRule="auto"/>
        <w:rPr>
          <w:rFonts w:ascii="Arial" w:eastAsia="Times New Roman" w:hAnsi="Arial" w:cs="Arial"/>
          <w:b/>
          <w:bCs/>
          <w:color w:val="000000" w:themeColor="text1"/>
          <w:lang w:eastAsia="en-GB"/>
        </w:rPr>
      </w:pPr>
      <w:r w:rsidRPr="00DD4391">
        <w:rPr>
          <w:rFonts w:ascii="Arial" w:eastAsia="Times New Roman" w:hAnsi="Arial" w:cs="Arial"/>
          <w:b/>
          <w:bCs/>
          <w:color w:val="000000" w:themeColor="text1"/>
          <w:lang w:eastAsia="en-GB"/>
        </w:rPr>
        <w:t>Mean and median bonus pay gap</w:t>
      </w:r>
    </w:p>
    <w:p w:rsidR="00B00911" w:rsidRDefault="00B00911" w:rsidP="00993502">
      <w:pPr>
        <w:spacing w:after="0" w:line="240" w:lineRule="auto"/>
        <w:ind w:left="1080"/>
        <w:rPr>
          <w:rFonts w:ascii="Arial" w:eastAsia="Times New Roman" w:hAnsi="Arial" w:cs="Arial"/>
          <w:bCs/>
          <w:color w:val="000000" w:themeColor="text1"/>
          <w:lang w:eastAsia="en-GB"/>
        </w:rPr>
      </w:pPr>
    </w:p>
    <w:p w:rsidR="00993502" w:rsidRPr="00993502" w:rsidRDefault="00993502" w:rsidP="00993502">
      <w:pPr>
        <w:spacing w:after="0" w:line="240" w:lineRule="auto"/>
        <w:ind w:left="720"/>
        <w:rPr>
          <w:rFonts w:ascii="Arial" w:eastAsia="Times New Roman" w:hAnsi="Arial" w:cs="Arial"/>
          <w:bCs/>
          <w:lang w:eastAsia="en-GB"/>
        </w:rPr>
      </w:pPr>
      <w:r w:rsidRPr="00993502">
        <w:rPr>
          <w:rFonts w:ascii="Arial" w:eastAsia="Times New Roman" w:hAnsi="Arial" w:cs="Arial"/>
          <w:bCs/>
          <w:lang w:eastAsia="en-GB"/>
        </w:rPr>
        <w:t xml:space="preserve">The </w:t>
      </w:r>
      <w:r w:rsidR="00306483">
        <w:rPr>
          <w:rFonts w:ascii="Arial" w:eastAsia="Times New Roman" w:hAnsi="Arial" w:cs="Arial"/>
          <w:bCs/>
          <w:lang w:eastAsia="en-GB"/>
        </w:rPr>
        <w:t>Consultant</w:t>
      </w:r>
      <w:r w:rsidRPr="00993502">
        <w:rPr>
          <w:rFonts w:ascii="Arial" w:eastAsia="Times New Roman" w:hAnsi="Arial" w:cs="Arial"/>
          <w:bCs/>
          <w:lang w:eastAsia="en-GB"/>
        </w:rPr>
        <w:t xml:space="preserve"> staff group </w:t>
      </w:r>
      <w:r w:rsidR="00306483">
        <w:rPr>
          <w:rFonts w:ascii="Arial" w:eastAsia="Times New Roman" w:hAnsi="Arial" w:cs="Arial"/>
          <w:bCs/>
          <w:lang w:eastAsia="en-GB"/>
        </w:rPr>
        <w:t>were the only staff group p</w:t>
      </w:r>
      <w:r w:rsidRPr="00993502">
        <w:rPr>
          <w:rFonts w:ascii="Arial" w:eastAsia="Times New Roman" w:hAnsi="Arial" w:cs="Arial"/>
          <w:bCs/>
          <w:lang w:eastAsia="en-GB"/>
        </w:rPr>
        <w:t xml:space="preserve">rior to this reporting period in receipt of bonuses </w:t>
      </w:r>
      <w:r w:rsidR="00E662DC">
        <w:rPr>
          <w:rFonts w:ascii="Arial" w:eastAsia="Times New Roman" w:hAnsi="Arial" w:cs="Arial"/>
          <w:bCs/>
          <w:lang w:eastAsia="en-GB"/>
        </w:rPr>
        <w:t xml:space="preserve">(in line with </w:t>
      </w:r>
      <w:r w:rsidRPr="00993502">
        <w:rPr>
          <w:rFonts w:ascii="Arial" w:eastAsia="Times New Roman" w:hAnsi="Arial" w:cs="Arial"/>
          <w:bCs/>
          <w:lang w:eastAsia="en-GB"/>
        </w:rPr>
        <w:t>NHS national terms and conditions for medical staff</w:t>
      </w:r>
      <w:r w:rsidR="00E662DC">
        <w:rPr>
          <w:rFonts w:ascii="Arial" w:eastAsia="Times New Roman" w:hAnsi="Arial" w:cs="Arial"/>
          <w:bCs/>
          <w:lang w:eastAsia="en-GB"/>
        </w:rPr>
        <w:t>)</w:t>
      </w:r>
      <w:r w:rsidRPr="00993502">
        <w:rPr>
          <w:rFonts w:ascii="Arial" w:eastAsia="Times New Roman" w:hAnsi="Arial" w:cs="Arial"/>
          <w:bCs/>
          <w:lang w:eastAsia="en-GB"/>
        </w:rPr>
        <w:t xml:space="preserve">. </w:t>
      </w:r>
      <w:r w:rsidR="00D751BD">
        <w:rPr>
          <w:rFonts w:ascii="Arial" w:eastAsia="Times New Roman" w:hAnsi="Arial" w:cs="Arial"/>
          <w:bCs/>
          <w:lang w:eastAsia="en-GB"/>
        </w:rPr>
        <w:t>T</w:t>
      </w:r>
      <w:r w:rsidRPr="00993502">
        <w:rPr>
          <w:rFonts w:ascii="Arial" w:eastAsia="Times New Roman" w:hAnsi="Arial" w:cs="Arial"/>
          <w:bCs/>
          <w:lang w:eastAsia="en-GB"/>
        </w:rPr>
        <w:t>his reporting period</w:t>
      </w:r>
      <w:r w:rsidR="00D751BD">
        <w:rPr>
          <w:rFonts w:ascii="Arial" w:eastAsia="Times New Roman" w:hAnsi="Arial" w:cs="Arial"/>
          <w:bCs/>
          <w:lang w:eastAsia="en-GB"/>
        </w:rPr>
        <w:t xml:space="preserve"> includes a welcome bonus payment for our </w:t>
      </w:r>
      <w:r w:rsidRPr="00993502">
        <w:rPr>
          <w:rFonts w:ascii="Arial" w:eastAsia="Times New Roman" w:hAnsi="Arial" w:cs="Arial"/>
          <w:bCs/>
          <w:lang w:eastAsia="en-GB"/>
        </w:rPr>
        <w:t xml:space="preserve">international nurses. </w:t>
      </w:r>
      <w:r w:rsidR="00DB32F7">
        <w:rPr>
          <w:rFonts w:ascii="Arial" w:eastAsia="Times New Roman" w:hAnsi="Arial" w:cs="Arial"/>
          <w:bCs/>
          <w:lang w:eastAsia="en-GB"/>
        </w:rPr>
        <w:t>For the purposes of</w:t>
      </w:r>
      <w:r w:rsidRPr="00993502">
        <w:rPr>
          <w:rFonts w:ascii="Arial" w:eastAsia="Times New Roman" w:hAnsi="Arial" w:cs="Arial"/>
          <w:bCs/>
          <w:lang w:eastAsia="en-GB"/>
        </w:rPr>
        <w:t xml:space="preserve"> this report</w:t>
      </w:r>
      <w:r w:rsidR="00DB32F7">
        <w:rPr>
          <w:rFonts w:ascii="Arial" w:eastAsia="Times New Roman" w:hAnsi="Arial" w:cs="Arial"/>
          <w:bCs/>
          <w:lang w:eastAsia="en-GB"/>
        </w:rPr>
        <w:t>, bonuses</w:t>
      </w:r>
      <w:r w:rsidRPr="00993502">
        <w:rPr>
          <w:rFonts w:ascii="Arial" w:eastAsia="Times New Roman" w:hAnsi="Arial" w:cs="Arial"/>
          <w:bCs/>
          <w:lang w:eastAsia="en-GB"/>
        </w:rPr>
        <w:t xml:space="preserve"> are exclusively made up of local and national consultant clinical excellence awards, discretionary points and welcome bonus.</w:t>
      </w:r>
    </w:p>
    <w:p w:rsidR="00993502" w:rsidRPr="00B00911" w:rsidRDefault="00993502" w:rsidP="00B00911">
      <w:pPr>
        <w:spacing w:after="0" w:line="240" w:lineRule="auto"/>
        <w:rPr>
          <w:rFonts w:ascii="Arial" w:eastAsia="Times New Roman" w:hAnsi="Arial" w:cs="Arial"/>
          <w:bCs/>
          <w:color w:val="000000" w:themeColor="text1"/>
          <w:lang w:eastAsia="en-GB"/>
        </w:rPr>
      </w:pPr>
    </w:p>
    <w:p w:rsidR="00C44BD1" w:rsidRDefault="00993502" w:rsidP="00C44BD1">
      <w:pPr>
        <w:rPr>
          <w:rFonts w:ascii="Arial" w:eastAsia="Times New Roman" w:hAnsi="Arial" w:cs="Arial"/>
          <w:b/>
          <w:color w:val="005EB8"/>
          <w:lang w:eastAsia="en-GB"/>
        </w:rPr>
      </w:pPr>
      <w:r>
        <w:rPr>
          <w:rFonts w:ascii="Arial" w:eastAsia="Times New Roman" w:hAnsi="Arial" w:cs="Arial"/>
          <w:b/>
          <w:color w:val="005EB8"/>
          <w:lang w:eastAsia="en-GB"/>
        </w:rPr>
        <w:t xml:space="preserve">           </w:t>
      </w:r>
      <w:r>
        <w:rPr>
          <w:noProof/>
          <w:lang w:eastAsia="en-GB"/>
        </w:rPr>
        <w:drawing>
          <wp:inline distT="0" distB="0" distL="0" distR="0" wp14:anchorId="6F647456" wp14:editId="72060845">
            <wp:extent cx="2875084" cy="2654300"/>
            <wp:effectExtent l="0" t="0" r="1905" b="12700"/>
            <wp:docPr id="5" name="Chart 5">
              <a:extLst xmlns:a="http://schemas.openxmlformats.org/drawingml/2006/main">
                <a:ext uri="{FF2B5EF4-FFF2-40B4-BE49-F238E27FC236}">
                  <a16:creationId xmlns:a16="http://schemas.microsoft.com/office/drawing/2014/main" id="{8B372E50-FD69-4A96-90C5-072C84811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93502">
        <w:rPr>
          <w:noProof/>
        </w:rPr>
        <w:t xml:space="preserve"> </w:t>
      </w:r>
      <w:r>
        <w:rPr>
          <w:noProof/>
          <w:lang w:eastAsia="en-GB"/>
        </w:rPr>
        <w:drawing>
          <wp:inline distT="0" distB="0" distL="0" distR="0" wp14:anchorId="26F85B75" wp14:editId="4E4EAC20">
            <wp:extent cx="2857109" cy="2654300"/>
            <wp:effectExtent l="0" t="0" r="635" b="12700"/>
            <wp:docPr id="6" name="Chart 6">
              <a:extLst xmlns:a="http://schemas.openxmlformats.org/drawingml/2006/main">
                <a:ext uri="{FF2B5EF4-FFF2-40B4-BE49-F238E27FC236}">
                  <a16:creationId xmlns:a16="http://schemas.microsoft.com/office/drawing/2014/main" id="{1E689362-1488-4120-B15E-E323FEC00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3502" w:rsidRPr="00993502" w:rsidRDefault="00993502" w:rsidP="00993502">
      <w:pPr>
        <w:spacing w:after="0" w:line="240" w:lineRule="auto"/>
        <w:ind w:left="720"/>
        <w:rPr>
          <w:rFonts w:ascii="Arial" w:eastAsia="Times New Roman" w:hAnsi="Arial" w:cs="Arial"/>
          <w:bCs/>
          <w:color w:val="000000" w:themeColor="text1"/>
          <w:lang w:eastAsia="en-GB"/>
        </w:rPr>
      </w:pPr>
      <w:r w:rsidRPr="00993502">
        <w:rPr>
          <w:rFonts w:ascii="Arial" w:eastAsia="Times New Roman" w:hAnsi="Arial" w:cs="Arial"/>
          <w:bCs/>
          <w:color w:val="000000" w:themeColor="text1"/>
          <w:lang w:eastAsia="en-GB"/>
        </w:rPr>
        <w:t>The tables below give a clear separation of the bonus paid to consultants and the welcome bonus paid to our international nurses for this reporting period.</w:t>
      </w:r>
    </w:p>
    <w:p w:rsidR="00C44BD1" w:rsidRDefault="00C44BD1" w:rsidP="00C44BD1">
      <w:pPr>
        <w:rPr>
          <w:rFonts w:ascii="Arial" w:eastAsia="Times New Roman" w:hAnsi="Arial" w:cs="Arial"/>
          <w:b/>
          <w:color w:val="005EB8"/>
          <w:lang w:eastAsia="en-GB"/>
        </w:rPr>
      </w:pPr>
    </w:p>
    <w:tbl>
      <w:tblPr>
        <w:tblW w:w="8687" w:type="dxa"/>
        <w:tblInd w:w="583" w:type="dxa"/>
        <w:tblLook w:val="04A0" w:firstRow="1" w:lastRow="0" w:firstColumn="1" w:lastColumn="0" w:noHBand="0" w:noVBand="1"/>
      </w:tblPr>
      <w:tblGrid>
        <w:gridCol w:w="1120"/>
        <w:gridCol w:w="1318"/>
        <w:gridCol w:w="1318"/>
        <w:gridCol w:w="1120"/>
        <w:gridCol w:w="1537"/>
        <w:gridCol w:w="1140"/>
        <w:gridCol w:w="1134"/>
      </w:tblGrid>
      <w:tr w:rsidR="00072A3C" w:rsidRPr="00072A3C" w:rsidTr="00072A3C">
        <w:trPr>
          <w:trHeight w:val="85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2A3C" w:rsidRPr="00072A3C" w:rsidRDefault="00072A3C" w:rsidP="00072A3C">
            <w:pPr>
              <w:spacing w:after="0" w:line="240" w:lineRule="auto"/>
              <w:jc w:val="center"/>
              <w:rPr>
                <w:rFonts w:ascii="Arial" w:eastAsia="Times New Roman" w:hAnsi="Arial" w:cs="Arial"/>
                <w:b/>
                <w:bCs/>
                <w:color w:val="000000"/>
                <w:lang w:eastAsia="en-GB"/>
              </w:rPr>
            </w:pPr>
            <w:r w:rsidRPr="00072A3C">
              <w:rPr>
                <w:rFonts w:ascii="Arial" w:eastAsia="Times New Roman" w:hAnsi="Arial" w:cs="Arial"/>
                <w:b/>
                <w:bCs/>
                <w:color w:val="000000"/>
                <w:lang w:eastAsia="en-GB"/>
              </w:rPr>
              <w:t>M&amp;D only</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rsidR="00072A3C" w:rsidRPr="00072A3C" w:rsidRDefault="00072A3C" w:rsidP="00072A3C">
            <w:pPr>
              <w:spacing w:after="0" w:line="240" w:lineRule="auto"/>
              <w:rPr>
                <w:rFonts w:ascii="Arial" w:eastAsia="Times New Roman" w:hAnsi="Arial" w:cs="Arial"/>
                <w:b/>
                <w:bCs/>
                <w:color w:val="000000"/>
                <w:lang w:eastAsia="en-GB"/>
              </w:rPr>
            </w:pPr>
            <w:r w:rsidRPr="00072A3C">
              <w:rPr>
                <w:rFonts w:ascii="Arial" w:eastAsia="Times New Roman" w:hAnsi="Arial" w:cs="Arial"/>
                <w:b/>
                <w:bCs/>
                <w:color w:val="000000"/>
                <w:lang w:eastAsia="en-GB"/>
              </w:rPr>
              <w:t>Mean Bonus Payment</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rsidR="00072A3C" w:rsidRPr="00072A3C" w:rsidRDefault="00072A3C" w:rsidP="00072A3C">
            <w:pPr>
              <w:spacing w:after="0" w:line="240" w:lineRule="auto"/>
              <w:rPr>
                <w:rFonts w:ascii="Arial" w:eastAsia="Times New Roman" w:hAnsi="Arial" w:cs="Arial"/>
                <w:b/>
                <w:bCs/>
                <w:color w:val="000000"/>
                <w:lang w:eastAsia="en-GB"/>
              </w:rPr>
            </w:pPr>
            <w:r w:rsidRPr="00072A3C">
              <w:rPr>
                <w:rFonts w:ascii="Arial" w:eastAsia="Times New Roman" w:hAnsi="Arial" w:cs="Arial"/>
                <w:b/>
                <w:bCs/>
                <w:color w:val="000000"/>
                <w:lang w:eastAsia="en-GB"/>
              </w:rPr>
              <w:t>Median Bonus Payment</w:t>
            </w:r>
          </w:p>
        </w:tc>
        <w:tc>
          <w:tcPr>
            <w:tcW w:w="1120" w:type="dxa"/>
            <w:tcBorders>
              <w:top w:val="nil"/>
              <w:left w:val="nil"/>
              <w:bottom w:val="nil"/>
              <w:right w:val="nil"/>
            </w:tcBorders>
            <w:shd w:val="clear" w:color="auto" w:fill="auto"/>
            <w:noWrap/>
            <w:vAlign w:val="bottom"/>
            <w:hideMark/>
          </w:tcPr>
          <w:p w:rsidR="00072A3C" w:rsidRPr="00072A3C" w:rsidRDefault="00072A3C" w:rsidP="00072A3C">
            <w:pPr>
              <w:spacing w:after="0" w:line="240" w:lineRule="auto"/>
              <w:rPr>
                <w:rFonts w:ascii="Arial" w:eastAsia="Times New Roman" w:hAnsi="Arial" w:cs="Arial"/>
                <w:b/>
                <w:bCs/>
                <w:color w:val="000000"/>
                <w:lang w:eastAsia="en-GB"/>
              </w:rPr>
            </w:pPr>
          </w:p>
        </w:tc>
        <w:tc>
          <w:tcPr>
            <w:tcW w:w="15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2A3C" w:rsidRPr="00072A3C" w:rsidRDefault="00072A3C" w:rsidP="00072A3C">
            <w:pPr>
              <w:spacing w:after="0" w:line="240" w:lineRule="auto"/>
              <w:jc w:val="center"/>
              <w:rPr>
                <w:rFonts w:ascii="Arial" w:eastAsia="Times New Roman" w:hAnsi="Arial" w:cs="Arial"/>
                <w:b/>
                <w:bCs/>
                <w:color w:val="000000"/>
                <w:lang w:eastAsia="en-GB"/>
              </w:rPr>
            </w:pPr>
            <w:r w:rsidRPr="00072A3C">
              <w:rPr>
                <w:rFonts w:ascii="Arial" w:eastAsia="Times New Roman" w:hAnsi="Arial" w:cs="Arial"/>
                <w:b/>
                <w:bCs/>
                <w:color w:val="000000"/>
                <w:lang w:eastAsia="en-GB"/>
              </w:rPr>
              <w:t>International Nurses</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072A3C" w:rsidRPr="00072A3C" w:rsidRDefault="00072A3C" w:rsidP="00072A3C">
            <w:pPr>
              <w:spacing w:after="0" w:line="240" w:lineRule="auto"/>
              <w:rPr>
                <w:rFonts w:ascii="Arial" w:eastAsia="Times New Roman" w:hAnsi="Arial" w:cs="Arial"/>
                <w:b/>
                <w:bCs/>
                <w:color w:val="000000"/>
                <w:lang w:eastAsia="en-GB"/>
              </w:rPr>
            </w:pPr>
            <w:r w:rsidRPr="00072A3C">
              <w:rPr>
                <w:rFonts w:ascii="Arial" w:eastAsia="Times New Roman" w:hAnsi="Arial" w:cs="Arial"/>
                <w:b/>
                <w:bCs/>
                <w:color w:val="000000"/>
                <w:lang w:eastAsia="en-GB"/>
              </w:rPr>
              <w:t>Mean Bonus Payment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72A3C" w:rsidRPr="00072A3C" w:rsidRDefault="00072A3C" w:rsidP="00072A3C">
            <w:pPr>
              <w:spacing w:after="0" w:line="240" w:lineRule="auto"/>
              <w:rPr>
                <w:rFonts w:ascii="Arial" w:eastAsia="Times New Roman" w:hAnsi="Arial" w:cs="Arial"/>
                <w:b/>
                <w:bCs/>
                <w:color w:val="000000"/>
                <w:lang w:eastAsia="en-GB"/>
              </w:rPr>
            </w:pPr>
            <w:r w:rsidRPr="00072A3C">
              <w:rPr>
                <w:rFonts w:ascii="Arial" w:eastAsia="Times New Roman" w:hAnsi="Arial" w:cs="Arial"/>
                <w:b/>
                <w:bCs/>
                <w:color w:val="000000"/>
                <w:lang w:eastAsia="en-GB"/>
              </w:rPr>
              <w:t>Median Bonus Payment</w:t>
            </w:r>
          </w:p>
        </w:tc>
      </w:tr>
      <w:tr w:rsidR="00072A3C" w:rsidRPr="00072A3C" w:rsidTr="00072A3C">
        <w:trPr>
          <w:trHeight w:val="29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72A3C" w:rsidRPr="00072A3C" w:rsidRDefault="00072A3C" w:rsidP="00072A3C">
            <w:pPr>
              <w:spacing w:after="0" w:line="240" w:lineRule="auto"/>
              <w:rPr>
                <w:rFonts w:ascii="Arial" w:eastAsia="Times New Roman" w:hAnsi="Arial" w:cs="Arial"/>
                <w:color w:val="000000"/>
                <w:lang w:eastAsia="en-GB"/>
              </w:rPr>
            </w:pPr>
            <w:r w:rsidRPr="00072A3C">
              <w:rPr>
                <w:rFonts w:ascii="Arial" w:eastAsia="Times New Roman" w:hAnsi="Arial" w:cs="Arial"/>
                <w:color w:val="000000"/>
                <w:lang w:eastAsia="en-GB"/>
              </w:rPr>
              <w:t>Men</w:t>
            </w:r>
          </w:p>
        </w:tc>
        <w:tc>
          <w:tcPr>
            <w:tcW w:w="1318"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£13,082.23</w:t>
            </w:r>
          </w:p>
        </w:tc>
        <w:tc>
          <w:tcPr>
            <w:tcW w:w="1318"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£12,063.96</w:t>
            </w:r>
          </w:p>
        </w:tc>
        <w:tc>
          <w:tcPr>
            <w:tcW w:w="1120" w:type="dxa"/>
            <w:tcBorders>
              <w:top w:val="nil"/>
              <w:left w:val="nil"/>
              <w:bottom w:val="nil"/>
              <w:right w:val="nil"/>
            </w:tcBorders>
            <w:shd w:val="clear" w:color="auto" w:fill="auto"/>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072A3C" w:rsidRPr="00072A3C" w:rsidRDefault="00072A3C" w:rsidP="00072A3C">
            <w:pPr>
              <w:spacing w:after="0" w:line="240" w:lineRule="auto"/>
              <w:rPr>
                <w:rFonts w:ascii="Arial" w:eastAsia="Times New Roman" w:hAnsi="Arial" w:cs="Arial"/>
                <w:color w:val="000000"/>
                <w:lang w:eastAsia="en-GB"/>
              </w:rPr>
            </w:pPr>
            <w:r w:rsidRPr="00072A3C">
              <w:rPr>
                <w:rFonts w:ascii="Arial" w:eastAsia="Times New Roman" w:hAnsi="Arial" w:cs="Arial"/>
                <w:color w:val="000000"/>
                <w:lang w:eastAsia="en-GB"/>
              </w:rPr>
              <w:t>Men</w:t>
            </w:r>
          </w:p>
        </w:tc>
        <w:tc>
          <w:tcPr>
            <w:tcW w:w="1140"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w:t>
            </w:r>
            <w:r w:rsidR="00087F58">
              <w:rPr>
                <w:rFonts w:ascii="Arial" w:eastAsia="Times New Roman" w:hAnsi="Arial" w:cs="Arial"/>
                <w:color w:val="000000"/>
                <w:lang w:eastAsia="en-GB"/>
              </w:rPr>
              <w:t>200.00</w:t>
            </w:r>
          </w:p>
        </w:tc>
        <w:tc>
          <w:tcPr>
            <w:tcW w:w="1134"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£200.00</w:t>
            </w:r>
          </w:p>
        </w:tc>
      </w:tr>
      <w:tr w:rsidR="00072A3C" w:rsidRPr="00072A3C" w:rsidTr="00072A3C">
        <w:trPr>
          <w:trHeight w:val="29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72A3C" w:rsidRPr="00072A3C" w:rsidRDefault="00072A3C" w:rsidP="00072A3C">
            <w:pPr>
              <w:spacing w:after="0" w:line="240" w:lineRule="auto"/>
              <w:rPr>
                <w:rFonts w:ascii="Arial" w:eastAsia="Times New Roman" w:hAnsi="Arial" w:cs="Arial"/>
                <w:color w:val="000000"/>
                <w:lang w:eastAsia="en-GB"/>
              </w:rPr>
            </w:pPr>
            <w:r w:rsidRPr="00072A3C">
              <w:rPr>
                <w:rFonts w:ascii="Arial" w:eastAsia="Times New Roman" w:hAnsi="Arial" w:cs="Arial"/>
                <w:color w:val="000000"/>
                <w:lang w:eastAsia="en-GB"/>
              </w:rPr>
              <w:t>Women</w:t>
            </w:r>
          </w:p>
        </w:tc>
        <w:tc>
          <w:tcPr>
            <w:tcW w:w="1318"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£10,301.05</w:t>
            </w:r>
          </w:p>
        </w:tc>
        <w:tc>
          <w:tcPr>
            <w:tcW w:w="1318"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£6,717.90</w:t>
            </w:r>
          </w:p>
        </w:tc>
        <w:tc>
          <w:tcPr>
            <w:tcW w:w="1120" w:type="dxa"/>
            <w:tcBorders>
              <w:top w:val="nil"/>
              <w:left w:val="nil"/>
              <w:bottom w:val="nil"/>
              <w:right w:val="nil"/>
            </w:tcBorders>
            <w:shd w:val="clear" w:color="auto" w:fill="auto"/>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072A3C" w:rsidRPr="00072A3C" w:rsidRDefault="00072A3C" w:rsidP="00072A3C">
            <w:pPr>
              <w:spacing w:after="0" w:line="240" w:lineRule="auto"/>
              <w:rPr>
                <w:rFonts w:ascii="Arial" w:eastAsia="Times New Roman" w:hAnsi="Arial" w:cs="Arial"/>
                <w:color w:val="000000"/>
                <w:lang w:eastAsia="en-GB"/>
              </w:rPr>
            </w:pPr>
            <w:r w:rsidRPr="00072A3C">
              <w:rPr>
                <w:rFonts w:ascii="Arial" w:eastAsia="Times New Roman" w:hAnsi="Arial" w:cs="Arial"/>
                <w:color w:val="000000"/>
                <w:lang w:eastAsia="en-GB"/>
              </w:rPr>
              <w:t>Women</w:t>
            </w:r>
          </w:p>
        </w:tc>
        <w:tc>
          <w:tcPr>
            <w:tcW w:w="1140"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£20</w:t>
            </w:r>
            <w:r w:rsidR="00087F58">
              <w:rPr>
                <w:rFonts w:ascii="Arial" w:eastAsia="Times New Roman" w:hAnsi="Arial" w:cs="Arial"/>
                <w:color w:val="000000"/>
                <w:lang w:eastAsia="en-GB"/>
              </w:rPr>
              <w:t>0.00</w:t>
            </w:r>
          </w:p>
        </w:tc>
        <w:tc>
          <w:tcPr>
            <w:tcW w:w="1134" w:type="dxa"/>
            <w:tcBorders>
              <w:top w:val="nil"/>
              <w:left w:val="nil"/>
              <w:bottom w:val="single" w:sz="4" w:space="0" w:color="auto"/>
              <w:right w:val="single" w:sz="4" w:space="0" w:color="auto"/>
            </w:tcBorders>
            <w:shd w:val="clear" w:color="000000" w:fill="FFFFFF"/>
            <w:noWrap/>
            <w:vAlign w:val="bottom"/>
            <w:hideMark/>
          </w:tcPr>
          <w:p w:rsidR="00072A3C" w:rsidRPr="00072A3C" w:rsidRDefault="00072A3C" w:rsidP="00072A3C">
            <w:pPr>
              <w:spacing w:after="0" w:line="240" w:lineRule="auto"/>
              <w:jc w:val="right"/>
              <w:rPr>
                <w:rFonts w:ascii="Arial" w:eastAsia="Times New Roman" w:hAnsi="Arial" w:cs="Arial"/>
                <w:color w:val="000000"/>
                <w:lang w:eastAsia="en-GB"/>
              </w:rPr>
            </w:pPr>
            <w:r w:rsidRPr="00072A3C">
              <w:rPr>
                <w:rFonts w:ascii="Arial" w:eastAsia="Times New Roman" w:hAnsi="Arial" w:cs="Arial"/>
                <w:color w:val="000000"/>
                <w:lang w:eastAsia="en-GB"/>
              </w:rPr>
              <w:t>£200.00</w:t>
            </w:r>
          </w:p>
        </w:tc>
      </w:tr>
    </w:tbl>
    <w:p w:rsidR="00993502" w:rsidRDefault="00993502" w:rsidP="00C44BD1">
      <w:pPr>
        <w:rPr>
          <w:rFonts w:ascii="Arial" w:eastAsia="Times New Roman" w:hAnsi="Arial" w:cs="Arial"/>
          <w:b/>
          <w:color w:val="005EB8"/>
          <w:lang w:eastAsia="en-GB"/>
        </w:rPr>
      </w:pPr>
    </w:p>
    <w:p w:rsidR="00993502" w:rsidRDefault="00993502" w:rsidP="00993502">
      <w:pPr>
        <w:pStyle w:val="ListParagraph"/>
        <w:numPr>
          <w:ilvl w:val="0"/>
          <w:numId w:val="22"/>
        </w:numPr>
        <w:rPr>
          <w:rFonts w:ascii="Arial" w:eastAsia="Times New Roman" w:hAnsi="Arial" w:cs="Arial"/>
          <w:b/>
          <w:color w:val="000000" w:themeColor="text1"/>
          <w:lang w:eastAsia="en-GB"/>
        </w:rPr>
      </w:pPr>
      <w:r w:rsidRPr="00993502">
        <w:rPr>
          <w:rFonts w:ascii="Arial" w:eastAsia="Times New Roman" w:hAnsi="Arial" w:cs="Arial"/>
          <w:b/>
          <w:color w:val="000000" w:themeColor="text1"/>
          <w:lang w:eastAsia="en-GB"/>
        </w:rPr>
        <w:t>Total Employees paid bonus</w:t>
      </w:r>
    </w:p>
    <w:p w:rsidR="00993502" w:rsidRDefault="00993502" w:rsidP="00993502">
      <w:pPr>
        <w:pStyle w:val="ListParagraph"/>
        <w:ind w:left="1080"/>
        <w:rPr>
          <w:rFonts w:ascii="Arial" w:eastAsia="Times New Roman" w:hAnsi="Arial" w:cs="Arial"/>
          <w:b/>
          <w:color w:val="000000" w:themeColor="text1"/>
          <w:lang w:eastAsia="en-GB"/>
        </w:rPr>
      </w:pPr>
    </w:p>
    <w:p w:rsidR="00993502" w:rsidRPr="009B4A47" w:rsidRDefault="00993502" w:rsidP="00993502">
      <w:pPr>
        <w:pStyle w:val="ListParagraph"/>
        <w:spacing w:after="0" w:line="240" w:lineRule="auto"/>
        <w:ind w:left="1080"/>
        <w:rPr>
          <w:rFonts w:ascii="Arial" w:eastAsia="Times New Roman" w:hAnsi="Arial" w:cs="Arial"/>
          <w:bCs/>
          <w:color w:val="000000" w:themeColor="text1"/>
          <w:lang w:eastAsia="en-GB"/>
        </w:rPr>
      </w:pPr>
      <w:r w:rsidRPr="009B4A47">
        <w:rPr>
          <w:rFonts w:ascii="Arial" w:eastAsia="Times New Roman" w:hAnsi="Arial" w:cs="Arial"/>
          <w:bCs/>
          <w:color w:val="000000" w:themeColor="text1"/>
          <w:lang w:eastAsia="en-GB"/>
        </w:rPr>
        <w:t xml:space="preserve">The chart shows more </w:t>
      </w:r>
      <w:r>
        <w:rPr>
          <w:rFonts w:ascii="Arial" w:eastAsia="Times New Roman" w:hAnsi="Arial" w:cs="Arial"/>
          <w:bCs/>
          <w:color w:val="000000" w:themeColor="text1"/>
          <w:lang w:eastAsia="en-GB"/>
        </w:rPr>
        <w:t xml:space="preserve">women received the bonus payment </w:t>
      </w:r>
      <w:r w:rsidR="00DB32F7">
        <w:rPr>
          <w:rFonts w:ascii="Arial" w:eastAsia="Times New Roman" w:hAnsi="Arial" w:cs="Arial"/>
          <w:bCs/>
          <w:color w:val="000000" w:themeColor="text1"/>
          <w:lang w:eastAsia="en-GB"/>
        </w:rPr>
        <w:t xml:space="preserve">in </w:t>
      </w:r>
      <w:r>
        <w:rPr>
          <w:rFonts w:ascii="Arial" w:eastAsia="Times New Roman" w:hAnsi="Arial" w:cs="Arial"/>
          <w:bCs/>
          <w:color w:val="000000" w:themeColor="text1"/>
          <w:lang w:eastAsia="en-GB"/>
        </w:rPr>
        <w:t xml:space="preserve">this reporting period than men. </w:t>
      </w:r>
      <w:r w:rsidRPr="001B6DB5">
        <w:rPr>
          <w:rFonts w:ascii="Arial" w:eastAsia="Times New Roman" w:hAnsi="Arial" w:cs="Arial"/>
          <w:bCs/>
          <w:color w:val="000000" w:themeColor="text1"/>
          <w:lang w:eastAsia="en-GB"/>
        </w:rPr>
        <w:t>Th</w:t>
      </w:r>
      <w:r w:rsidR="00F20134">
        <w:rPr>
          <w:rFonts w:ascii="Arial" w:eastAsia="Times New Roman" w:hAnsi="Arial" w:cs="Arial"/>
          <w:bCs/>
          <w:color w:val="000000" w:themeColor="text1"/>
          <w:lang w:eastAsia="en-GB"/>
        </w:rPr>
        <w:t>is</w:t>
      </w:r>
      <w:r w:rsidRPr="001B6DB5">
        <w:rPr>
          <w:rFonts w:ascii="Arial" w:eastAsia="Times New Roman" w:hAnsi="Arial" w:cs="Arial"/>
          <w:bCs/>
          <w:color w:val="000000" w:themeColor="text1"/>
          <w:lang w:eastAsia="en-GB"/>
        </w:rPr>
        <w:t xml:space="preserve"> is due to the </w:t>
      </w:r>
      <w:r w:rsidR="001B6DB5" w:rsidRPr="001B6DB5">
        <w:rPr>
          <w:rFonts w:ascii="Arial" w:eastAsia="Times New Roman" w:hAnsi="Arial" w:cs="Arial"/>
          <w:bCs/>
          <w:color w:val="000000" w:themeColor="text1"/>
          <w:lang w:eastAsia="en-GB"/>
        </w:rPr>
        <w:t xml:space="preserve">one hundred and </w:t>
      </w:r>
      <w:r w:rsidR="00F5277C">
        <w:rPr>
          <w:rFonts w:ascii="Arial" w:eastAsia="Times New Roman" w:hAnsi="Arial" w:cs="Arial"/>
          <w:bCs/>
          <w:color w:val="000000" w:themeColor="text1"/>
          <w:lang w:eastAsia="en-GB"/>
        </w:rPr>
        <w:t>seventeen</w:t>
      </w:r>
      <w:r w:rsidRPr="001B6DB5">
        <w:rPr>
          <w:rFonts w:ascii="Arial" w:eastAsia="Times New Roman" w:hAnsi="Arial" w:cs="Arial"/>
          <w:bCs/>
          <w:color w:val="000000" w:themeColor="text1"/>
          <w:lang w:eastAsia="en-GB"/>
        </w:rPr>
        <w:t xml:space="preserve"> international </w:t>
      </w:r>
      <w:r w:rsidR="00DB32F7">
        <w:rPr>
          <w:rFonts w:ascii="Arial" w:eastAsia="Times New Roman" w:hAnsi="Arial" w:cs="Arial"/>
          <w:bCs/>
          <w:color w:val="000000" w:themeColor="text1"/>
          <w:lang w:eastAsia="en-GB"/>
        </w:rPr>
        <w:t xml:space="preserve">staff who were </w:t>
      </w:r>
      <w:r w:rsidR="001B6DB5" w:rsidRPr="001B6DB5">
        <w:rPr>
          <w:rFonts w:ascii="Arial" w:eastAsia="Times New Roman" w:hAnsi="Arial" w:cs="Arial"/>
          <w:bCs/>
          <w:color w:val="000000" w:themeColor="text1"/>
          <w:lang w:eastAsia="en-GB"/>
        </w:rPr>
        <w:t>women</w:t>
      </w:r>
      <w:r w:rsidRPr="001B6DB5">
        <w:rPr>
          <w:rFonts w:ascii="Arial" w:eastAsia="Times New Roman" w:hAnsi="Arial" w:cs="Arial"/>
          <w:bCs/>
          <w:color w:val="000000" w:themeColor="text1"/>
          <w:lang w:eastAsia="en-GB"/>
        </w:rPr>
        <w:t xml:space="preserve"> that received the £200</w:t>
      </w:r>
      <w:r w:rsidR="00F5277C">
        <w:rPr>
          <w:rFonts w:ascii="Arial" w:eastAsia="Times New Roman" w:hAnsi="Arial" w:cs="Arial"/>
          <w:bCs/>
          <w:color w:val="000000" w:themeColor="text1"/>
          <w:lang w:eastAsia="en-GB"/>
        </w:rPr>
        <w:t xml:space="preserve"> </w:t>
      </w:r>
      <w:r w:rsidRPr="001B6DB5">
        <w:rPr>
          <w:rFonts w:ascii="Arial" w:eastAsia="Times New Roman" w:hAnsi="Arial" w:cs="Arial"/>
          <w:bCs/>
          <w:color w:val="000000" w:themeColor="text1"/>
          <w:lang w:eastAsia="en-GB"/>
        </w:rPr>
        <w:t xml:space="preserve">welcome bonus compared to only </w:t>
      </w:r>
      <w:r w:rsidR="00FD6D41">
        <w:rPr>
          <w:rFonts w:ascii="Arial" w:eastAsia="Times New Roman" w:hAnsi="Arial" w:cs="Arial"/>
          <w:bCs/>
          <w:color w:val="000000" w:themeColor="text1"/>
          <w:lang w:eastAsia="en-GB"/>
        </w:rPr>
        <w:t>nineteen</w:t>
      </w:r>
      <w:r w:rsidRPr="001B6DB5">
        <w:rPr>
          <w:rFonts w:ascii="Arial" w:eastAsia="Times New Roman" w:hAnsi="Arial" w:cs="Arial"/>
          <w:bCs/>
          <w:color w:val="000000" w:themeColor="text1"/>
          <w:lang w:eastAsia="en-GB"/>
        </w:rPr>
        <w:t xml:space="preserve"> men who received the £200 welcome bonus.</w:t>
      </w:r>
    </w:p>
    <w:p w:rsidR="00993502" w:rsidRDefault="00993502" w:rsidP="00993502">
      <w:pPr>
        <w:pStyle w:val="ListParagraph"/>
        <w:ind w:left="1080"/>
        <w:rPr>
          <w:rFonts w:ascii="Arial" w:eastAsia="Times New Roman" w:hAnsi="Arial" w:cs="Arial"/>
          <w:b/>
          <w:color w:val="000000" w:themeColor="text1"/>
          <w:lang w:eastAsia="en-GB"/>
        </w:rPr>
      </w:pPr>
    </w:p>
    <w:p w:rsidR="00993502" w:rsidRPr="00993502" w:rsidRDefault="00EC6727" w:rsidP="00993502">
      <w:pPr>
        <w:pStyle w:val="ListParagraph"/>
        <w:ind w:left="1080"/>
        <w:rPr>
          <w:rFonts w:ascii="Arial" w:eastAsia="Times New Roman" w:hAnsi="Arial" w:cs="Arial"/>
          <w:b/>
          <w:color w:val="000000" w:themeColor="text1"/>
          <w:lang w:eastAsia="en-GB"/>
        </w:rPr>
      </w:pPr>
      <w:r>
        <w:rPr>
          <w:noProof/>
          <w:lang w:eastAsia="en-GB"/>
        </w:rPr>
        <w:drawing>
          <wp:inline distT="0" distB="0" distL="0" distR="0" wp14:anchorId="3B277E4E" wp14:editId="342E1843">
            <wp:extent cx="4835525" cy="2654300"/>
            <wp:effectExtent l="0" t="0" r="3175" b="12700"/>
            <wp:docPr id="10" name="Chart 10">
              <a:extLst xmlns:a="http://schemas.openxmlformats.org/drawingml/2006/main">
                <a:ext uri="{FF2B5EF4-FFF2-40B4-BE49-F238E27FC236}">
                  <a16:creationId xmlns:a16="http://schemas.microsoft.com/office/drawing/2014/main" id="{74CFC3E4-A261-4021-B54F-7151EA7FD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4BD1" w:rsidRDefault="00C44BD1" w:rsidP="00C44BD1">
      <w:pPr>
        <w:rPr>
          <w:rFonts w:ascii="Arial" w:eastAsia="Times New Roman" w:hAnsi="Arial" w:cs="Arial"/>
          <w:b/>
          <w:color w:val="005EB8"/>
          <w:lang w:eastAsia="en-GB"/>
        </w:rPr>
      </w:pPr>
    </w:p>
    <w:p w:rsidR="00C44BD1" w:rsidRPr="00DD4391" w:rsidRDefault="00993502" w:rsidP="00993502">
      <w:pPr>
        <w:pStyle w:val="ListParagraph"/>
        <w:numPr>
          <w:ilvl w:val="0"/>
          <w:numId w:val="22"/>
        </w:numPr>
        <w:autoSpaceDE w:val="0"/>
        <w:autoSpaceDN w:val="0"/>
        <w:adjustRightInd w:val="0"/>
        <w:spacing w:after="0" w:line="240" w:lineRule="auto"/>
        <w:rPr>
          <w:rFonts w:ascii="Arial" w:hAnsi="Arial" w:cs="Arial"/>
          <w:b/>
          <w:color w:val="000000"/>
          <w:sz w:val="23"/>
          <w:szCs w:val="23"/>
        </w:rPr>
      </w:pPr>
      <w:r w:rsidRPr="00DD4391">
        <w:rPr>
          <w:rFonts w:ascii="Arial" w:hAnsi="Arial" w:cs="Arial"/>
          <w:b/>
          <w:color w:val="000000"/>
          <w:sz w:val="23"/>
          <w:szCs w:val="23"/>
        </w:rPr>
        <w:t>Pay distribution by gender</w:t>
      </w:r>
    </w:p>
    <w:p w:rsidR="00993502" w:rsidRDefault="00993502" w:rsidP="00993502">
      <w:pPr>
        <w:pStyle w:val="ListParagraph"/>
        <w:autoSpaceDE w:val="0"/>
        <w:autoSpaceDN w:val="0"/>
        <w:adjustRightInd w:val="0"/>
        <w:spacing w:after="0" w:line="240" w:lineRule="auto"/>
        <w:ind w:left="1080"/>
        <w:rPr>
          <w:rFonts w:ascii="Arial" w:hAnsi="Arial" w:cs="Arial"/>
          <w:color w:val="000000"/>
          <w:sz w:val="23"/>
          <w:szCs w:val="23"/>
        </w:rPr>
      </w:pPr>
    </w:p>
    <w:p w:rsidR="00993502" w:rsidRDefault="00993502" w:rsidP="00993502">
      <w:pPr>
        <w:pStyle w:val="ListParagraph"/>
        <w:autoSpaceDE w:val="0"/>
        <w:autoSpaceDN w:val="0"/>
        <w:adjustRightInd w:val="0"/>
        <w:spacing w:after="0" w:line="240" w:lineRule="auto"/>
        <w:ind w:left="1080"/>
        <w:rPr>
          <w:rFonts w:ascii="Arial" w:eastAsia="Times New Roman" w:hAnsi="Arial" w:cs="Arial"/>
          <w:bCs/>
          <w:color w:val="000000" w:themeColor="text1"/>
          <w:lang w:eastAsia="en-GB"/>
        </w:rPr>
      </w:pPr>
      <w:r>
        <w:rPr>
          <w:rFonts w:ascii="Arial" w:eastAsia="Times New Roman" w:hAnsi="Arial" w:cs="Arial"/>
          <w:bCs/>
          <w:color w:val="000000" w:themeColor="text1"/>
          <w:lang w:eastAsia="en-GB"/>
        </w:rPr>
        <w:t>The chart shows the proportion of men and women employees in each quartile. Employees are allocated into each quartile based on their hourly rate of pay. Lower quartile is our lowest pay quartile and upper quartile is our highest pay quartile.</w:t>
      </w:r>
    </w:p>
    <w:p w:rsidR="00993502" w:rsidRDefault="00993502" w:rsidP="00993502">
      <w:pPr>
        <w:pStyle w:val="ListParagraph"/>
        <w:autoSpaceDE w:val="0"/>
        <w:autoSpaceDN w:val="0"/>
        <w:adjustRightInd w:val="0"/>
        <w:spacing w:after="0" w:line="240" w:lineRule="auto"/>
        <w:ind w:left="1080"/>
        <w:rPr>
          <w:rFonts w:ascii="Arial" w:hAnsi="Arial" w:cs="Arial"/>
          <w:color w:val="000000"/>
          <w:sz w:val="23"/>
          <w:szCs w:val="23"/>
        </w:rPr>
      </w:pPr>
    </w:p>
    <w:p w:rsidR="00993502" w:rsidRDefault="00993502" w:rsidP="00993502">
      <w:pPr>
        <w:pStyle w:val="ListParagraph"/>
        <w:autoSpaceDE w:val="0"/>
        <w:autoSpaceDN w:val="0"/>
        <w:adjustRightInd w:val="0"/>
        <w:spacing w:after="0" w:line="240" w:lineRule="auto"/>
        <w:ind w:left="1080"/>
        <w:rPr>
          <w:rFonts w:ascii="Arial" w:hAnsi="Arial" w:cs="Arial"/>
          <w:color w:val="000000"/>
          <w:sz w:val="23"/>
          <w:szCs w:val="23"/>
        </w:rPr>
      </w:pPr>
    </w:p>
    <w:p w:rsidR="00993502" w:rsidRPr="00993502" w:rsidRDefault="00993502" w:rsidP="00993502">
      <w:pPr>
        <w:pStyle w:val="ListParagraph"/>
        <w:autoSpaceDE w:val="0"/>
        <w:autoSpaceDN w:val="0"/>
        <w:adjustRightInd w:val="0"/>
        <w:spacing w:after="0" w:line="240" w:lineRule="auto"/>
        <w:ind w:left="1080"/>
        <w:rPr>
          <w:rFonts w:ascii="Arial" w:hAnsi="Arial" w:cs="Arial"/>
          <w:color w:val="000000"/>
          <w:sz w:val="23"/>
          <w:szCs w:val="23"/>
        </w:rPr>
      </w:pPr>
      <w:r>
        <w:rPr>
          <w:noProof/>
          <w:lang w:eastAsia="en-GB"/>
        </w:rPr>
        <w:drawing>
          <wp:inline distT="0" distB="0" distL="0" distR="0" wp14:anchorId="6E935446" wp14:editId="31F51549">
            <wp:extent cx="5178426" cy="2790825"/>
            <wp:effectExtent l="0" t="0" r="3175" b="9525"/>
            <wp:docPr id="9" name="Chart 9">
              <a:extLst xmlns:a="http://schemas.openxmlformats.org/drawingml/2006/main">
                <a:ext uri="{FF2B5EF4-FFF2-40B4-BE49-F238E27FC236}">
                  <a16:creationId xmlns:a16="http://schemas.microsoft.com/office/drawing/2014/main" id="{BF2F42EC-EF8B-4407-B57B-B676AF35D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4BD1" w:rsidRDefault="00C44BD1" w:rsidP="00DD4391">
      <w:pPr>
        <w:spacing w:after="0" w:line="240" w:lineRule="auto"/>
        <w:rPr>
          <w:rFonts w:ascii="Arial" w:hAnsi="Arial" w:cs="Arial"/>
          <w:color w:val="000000"/>
          <w:sz w:val="23"/>
          <w:szCs w:val="23"/>
        </w:rPr>
      </w:pPr>
    </w:p>
    <w:p w:rsidR="00F20134" w:rsidRDefault="00F20134" w:rsidP="00DD4391">
      <w:pPr>
        <w:spacing w:after="0" w:line="240" w:lineRule="auto"/>
        <w:rPr>
          <w:rFonts w:ascii="Arial" w:hAnsi="Arial" w:cs="Arial"/>
          <w:color w:val="000000"/>
          <w:sz w:val="23"/>
          <w:szCs w:val="23"/>
        </w:rPr>
      </w:pPr>
    </w:p>
    <w:p w:rsidR="00072A3C" w:rsidRDefault="00072A3C" w:rsidP="00DD4391">
      <w:pPr>
        <w:spacing w:after="0" w:line="240" w:lineRule="auto"/>
        <w:rPr>
          <w:rFonts w:ascii="Arial" w:hAnsi="Arial" w:cs="Arial"/>
          <w:color w:val="000000"/>
          <w:sz w:val="23"/>
          <w:szCs w:val="23"/>
        </w:rPr>
      </w:pPr>
    </w:p>
    <w:p w:rsidR="000B4B34" w:rsidRPr="000B4B34" w:rsidRDefault="00817F9E" w:rsidP="00817F9E">
      <w:pPr>
        <w:pStyle w:val="ListParagraph"/>
        <w:numPr>
          <w:ilvl w:val="0"/>
          <w:numId w:val="22"/>
        </w:numPr>
        <w:spacing w:after="0" w:line="240" w:lineRule="auto"/>
        <w:rPr>
          <w:rFonts w:ascii="Arial" w:hAnsi="Arial" w:cs="Arial"/>
          <w:b/>
        </w:rPr>
      </w:pPr>
      <w:r w:rsidRPr="000B4B34">
        <w:rPr>
          <w:rFonts w:ascii="Arial" w:hAnsi="Arial" w:cs="Arial"/>
          <w:b/>
        </w:rPr>
        <w:t xml:space="preserve">Reducing the gender pay gap </w:t>
      </w:r>
    </w:p>
    <w:p w:rsidR="000B4B34" w:rsidRDefault="000B4B34" w:rsidP="000B4B34">
      <w:pPr>
        <w:pStyle w:val="ListParagraph"/>
        <w:spacing w:after="0" w:line="240" w:lineRule="auto"/>
        <w:ind w:left="1080"/>
        <w:rPr>
          <w:rFonts w:ascii="Arial" w:hAnsi="Arial" w:cs="Arial"/>
        </w:rPr>
      </w:pPr>
    </w:p>
    <w:p w:rsidR="000B4B34" w:rsidRDefault="00817F9E" w:rsidP="000B4B34">
      <w:pPr>
        <w:spacing w:after="0" w:line="240" w:lineRule="auto"/>
        <w:ind w:left="1134"/>
        <w:rPr>
          <w:rFonts w:ascii="Arial" w:hAnsi="Arial" w:cs="Arial"/>
        </w:rPr>
      </w:pPr>
      <w:r w:rsidRPr="000B4B34">
        <w:rPr>
          <w:rFonts w:ascii="Arial" w:hAnsi="Arial" w:cs="Arial"/>
        </w:rPr>
        <w:t xml:space="preserve">The </w:t>
      </w:r>
      <w:r w:rsidR="000B4B34">
        <w:rPr>
          <w:rFonts w:ascii="Arial" w:hAnsi="Arial" w:cs="Arial"/>
        </w:rPr>
        <w:t>t</w:t>
      </w:r>
      <w:r w:rsidRPr="000B4B34">
        <w:rPr>
          <w:rFonts w:ascii="Arial" w:hAnsi="Arial" w:cs="Arial"/>
        </w:rPr>
        <w:t xml:space="preserve">rust </w:t>
      </w:r>
      <w:r w:rsidR="000B4B34">
        <w:rPr>
          <w:rFonts w:ascii="Arial" w:hAnsi="Arial" w:cs="Arial"/>
        </w:rPr>
        <w:t>remains</w:t>
      </w:r>
      <w:r w:rsidRPr="000B4B34">
        <w:rPr>
          <w:rFonts w:ascii="Arial" w:hAnsi="Arial" w:cs="Arial"/>
        </w:rPr>
        <w:t xml:space="preserve"> committed to ensuring equality within the workforce and on this basis, identified a number of actions for 2022/23: </w:t>
      </w:r>
    </w:p>
    <w:p w:rsidR="000B4B34" w:rsidRDefault="000B4B34" w:rsidP="000B4B34">
      <w:pPr>
        <w:spacing w:after="0" w:line="240" w:lineRule="auto"/>
        <w:ind w:left="1134"/>
        <w:rPr>
          <w:rFonts w:ascii="Arial" w:hAnsi="Arial" w:cs="Arial"/>
        </w:rPr>
      </w:pPr>
    </w:p>
    <w:p w:rsidR="000B4B34" w:rsidRPr="000B4B34" w:rsidRDefault="00817F9E" w:rsidP="000B4B34">
      <w:pPr>
        <w:pStyle w:val="ListParagraph"/>
        <w:numPr>
          <w:ilvl w:val="0"/>
          <w:numId w:val="26"/>
        </w:numPr>
        <w:spacing w:after="0" w:line="240" w:lineRule="auto"/>
        <w:ind w:left="1560"/>
        <w:rPr>
          <w:rFonts w:ascii="Arial" w:hAnsi="Arial" w:cs="Arial"/>
        </w:rPr>
      </w:pPr>
      <w:r w:rsidRPr="000B4B34">
        <w:rPr>
          <w:rFonts w:ascii="Arial" w:hAnsi="Arial" w:cs="Arial"/>
        </w:rPr>
        <w:t xml:space="preserve">Continue to promote and encourage flexible working arrangements where practicable across all areas </w:t>
      </w:r>
    </w:p>
    <w:p w:rsidR="000B4B34" w:rsidRPr="000B4B34" w:rsidRDefault="00817F9E" w:rsidP="000B4B34">
      <w:pPr>
        <w:pStyle w:val="ListParagraph"/>
        <w:numPr>
          <w:ilvl w:val="0"/>
          <w:numId w:val="26"/>
        </w:numPr>
        <w:spacing w:after="0" w:line="240" w:lineRule="auto"/>
        <w:ind w:left="1560"/>
        <w:rPr>
          <w:rFonts w:ascii="Arial" w:hAnsi="Arial" w:cs="Arial"/>
        </w:rPr>
      </w:pPr>
      <w:r w:rsidRPr="000B4B34">
        <w:rPr>
          <w:rFonts w:ascii="Arial" w:hAnsi="Arial" w:cs="Arial"/>
        </w:rPr>
        <w:t xml:space="preserve">Raising awareness on shared parental leave </w:t>
      </w:r>
    </w:p>
    <w:p w:rsidR="000B4B34" w:rsidRPr="000B4B34" w:rsidRDefault="00817F9E" w:rsidP="000B4B34">
      <w:pPr>
        <w:pStyle w:val="ListParagraph"/>
        <w:numPr>
          <w:ilvl w:val="0"/>
          <w:numId w:val="26"/>
        </w:numPr>
        <w:spacing w:after="0" w:line="240" w:lineRule="auto"/>
        <w:ind w:left="1560"/>
        <w:rPr>
          <w:rFonts w:ascii="Arial" w:hAnsi="Arial" w:cs="Arial"/>
        </w:rPr>
      </w:pPr>
      <w:r w:rsidRPr="000B4B34">
        <w:rPr>
          <w:rFonts w:ascii="Arial" w:hAnsi="Arial" w:cs="Arial"/>
        </w:rPr>
        <w:t xml:space="preserve">Promote guidance to help support any staff members experiencing menopausal symptoms, encourage open conversations and create a better working environment </w:t>
      </w:r>
    </w:p>
    <w:p w:rsidR="00072A3C" w:rsidRPr="000B4B34" w:rsidRDefault="00817F9E" w:rsidP="000B4B34">
      <w:pPr>
        <w:pStyle w:val="ListParagraph"/>
        <w:numPr>
          <w:ilvl w:val="0"/>
          <w:numId w:val="26"/>
        </w:numPr>
        <w:spacing w:after="0" w:line="240" w:lineRule="auto"/>
        <w:ind w:left="1560"/>
        <w:rPr>
          <w:rFonts w:ascii="Arial" w:hAnsi="Arial" w:cs="Arial"/>
        </w:rPr>
      </w:pPr>
      <w:r w:rsidRPr="000B4B34">
        <w:rPr>
          <w:rFonts w:ascii="Arial" w:hAnsi="Arial" w:cs="Arial"/>
        </w:rPr>
        <w:t>Establish a women’s network</w:t>
      </w:r>
    </w:p>
    <w:p w:rsidR="000B4B34" w:rsidRPr="000B4B34" w:rsidRDefault="000B4B34" w:rsidP="000B4B34">
      <w:pPr>
        <w:spacing w:after="0" w:line="240" w:lineRule="auto"/>
        <w:ind w:left="1560"/>
        <w:rPr>
          <w:rFonts w:ascii="Arial" w:hAnsi="Arial" w:cs="Arial"/>
        </w:rPr>
      </w:pPr>
    </w:p>
    <w:p w:rsidR="00817F9E" w:rsidRPr="000B4B34" w:rsidRDefault="000B4B34" w:rsidP="000B4B34">
      <w:pPr>
        <w:spacing w:after="0" w:line="240" w:lineRule="auto"/>
        <w:ind w:left="1134"/>
        <w:rPr>
          <w:rFonts w:ascii="Arial" w:hAnsi="Arial" w:cs="Arial"/>
        </w:rPr>
      </w:pPr>
      <w:r w:rsidRPr="000B4B34">
        <w:rPr>
          <w:rFonts w:ascii="Arial" w:hAnsi="Arial" w:cs="Arial"/>
        </w:rPr>
        <w:t>For 202</w:t>
      </w:r>
      <w:r>
        <w:rPr>
          <w:rFonts w:ascii="Arial" w:hAnsi="Arial" w:cs="Arial"/>
        </w:rPr>
        <w:t>2</w:t>
      </w:r>
      <w:r w:rsidRPr="000B4B34">
        <w:rPr>
          <w:rFonts w:ascii="Arial" w:hAnsi="Arial" w:cs="Arial"/>
        </w:rPr>
        <w:t>/2</w:t>
      </w:r>
      <w:r>
        <w:rPr>
          <w:rFonts w:ascii="Arial" w:hAnsi="Arial" w:cs="Arial"/>
        </w:rPr>
        <w:t>3</w:t>
      </w:r>
      <w:r w:rsidRPr="000B4B34">
        <w:rPr>
          <w:rFonts w:ascii="Arial" w:hAnsi="Arial" w:cs="Arial"/>
        </w:rPr>
        <w:t xml:space="preserve"> clinical excellence awards, the </w:t>
      </w:r>
      <w:r>
        <w:rPr>
          <w:rFonts w:ascii="Arial" w:hAnsi="Arial" w:cs="Arial"/>
        </w:rPr>
        <w:t>t</w:t>
      </w:r>
      <w:r w:rsidRPr="000B4B34">
        <w:rPr>
          <w:rFonts w:ascii="Arial" w:hAnsi="Arial" w:cs="Arial"/>
        </w:rPr>
        <w:t>rust will continue to follow the national guidance of apportioning the available funds across all eligible consultants. The Equality, Diversity and Inclusion Steering Group will monitor delivery of these recommendations</w:t>
      </w:r>
    </w:p>
    <w:p w:rsidR="000B4B34" w:rsidRPr="000B4B34" w:rsidRDefault="000B4B34" w:rsidP="00817F9E">
      <w:pPr>
        <w:spacing w:after="0" w:line="240" w:lineRule="auto"/>
        <w:rPr>
          <w:rFonts w:ascii="Arial" w:eastAsia="Times New Roman" w:hAnsi="Arial" w:cs="Arial"/>
          <w:b/>
          <w:color w:val="005EB8"/>
          <w:lang w:eastAsia="en-GB"/>
        </w:rPr>
      </w:pPr>
    </w:p>
    <w:p w:rsidR="000B4B34" w:rsidRPr="000B4B34" w:rsidRDefault="000B4B34" w:rsidP="000B4B34">
      <w:pPr>
        <w:pStyle w:val="ListParagraph"/>
        <w:numPr>
          <w:ilvl w:val="0"/>
          <w:numId w:val="22"/>
        </w:numPr>
        <w:spacing w:after="0" w:line="240" w:lineRule="auto"/>
        <w:rPr>
          <w:rFonts w:ascii="Arial" w:hAnsi="Arial" w:cs="Arial"/>
          <w:b/>
        </w:rPr>
      </w:pPr>
      <w:r w:rsidRPr="000B4B34">
        <w:rPr>
          <w:rFonts w:ascii="Arial" w:hAnsi="Arial" w:cs="Arial"/>
          <w:b/>
        </w:rPr>
        <w:t xml:space="preserve">Recommendations </w:t>
      </w:r>
    </w:p>
    <w:p w:rsidR="000B4B34" w:rsidRDefault="000B4B34" w:rsidP="000B4B34">
      <w:pPr>
        <w:pStyle w:val="ListParagraph"/>
        <w:spacing w:after="0" w:line="240" w:lineRule="auto"/>
        <w:ind w:left="1080"/>
        <w:rPr>
          <w:rFonts w:ascii="Arial" w:hAnsi="Arial" w:cs="Arial"/>
        </w:rPr>
      </w:pPr>
    </w:p>
    <w:p w:rsidR="000B4B34" w:rsidRPr="000B4B34" w:rsidRDefault="000B4B34" w:rsidP="000B4B34">
      <w:pPr>
        <w:pStyle w:val="ListParagraph"/>
        <w:spacing w:after="0" w:line="240" w:lineRule="auto"/>
        <w:ind w:left="1080"/>
        <w:rPr>
          <w:rFonts w:ascii="Arial" w:eastAsia="Times New Roman" w:hAnsi="Arial" w:cs="Arial"/>
          <w:b/>
          <w:color w:val="005EB8"/>
          <w:lang w:eastAsia="en-GB"/>
        </w:rPr>
      </w:pPr>
      <w:r w:rsidRPr="000B4B34">
        <w:rPr>
          <w:rFonts w:ascii="Arial" w:hAnsi="Arial" w:cs="Arial"/>
        </w:rPr>
        <w:t>The Committee is asked to</w:t>
      </w:r>
      <w:r>
        <w:rPr>
          <w:rFonts w:ascii="Arial" w:hAnsi="Arial" w:cs="Arial"/>
        </w:rPr>
        <w:t xml:space="preserve"> n</w:t>
      </w:r>
      <w:r w:rsidRPr="000B4B34">
        <w:rPr>
          <w:rFonts w:ascii="Arial" w:hAnsi="Arial" w:cs="Arial"/>
        </w:rPr>
        <w:t xml:space="preserve">ote the gender pay gap data </w:t>
      </w:r>
      <w:r>
        <w:rPr>
          <w:rFonts w:ascii="Arial" w:hAnsi="Arial" w:cs="Arial"/>
        </w:rPr>
        <w:t>including</w:t>
      </w:r>
      <w:r w:rsidRPr="000B4B34">
        <w:rPr>
          <w:rFonts w:ascii="Arial" w:hAnsi="Arial" w:cs="Arial"/>
        </w:rPr>
        <w:t xml:space="preserve"> the publication date of this data </w:t>
      </w:r>
      <w:r>
        <w:rPr>
          <w:rFonts w:ascii="Arial" w:hAnsi="Arial" w:cs="Arial"/>
        </w:rPr>
        <w:t>and c</w:t>
      </w:r>
      <w:r w:rsidRPr="000B4B34">
        <w:rPr>
          <w:rFonts w:ascii="Arial" w:hAnsi="Arial" w:cs="Arial"/>
        </w:rPr>
        <w:t>ontinue to support ongoing actions to address the gender pay gap</w:t>
      </w:r>
    </w:p>
    <w:p w:rsidR="00C44BD1" w:rsidRDefault="00C44BD1" w:rsidP="00C44BD1">
      <w:pPr>
        <w:spacing w:after="0" w:line="240" w:lineRule="auto"/>
        <w:rPr>
          <w:rFonts w:ascii="Arial" w:eastAsia="Times New Roman" w:hAnsi="Arial" w:cs="Arial"/>
          <w:b/>
          <w:color w:val="005EB8"/>
          <w:lang w:eastAsia="en-GB"/>
        </w:rPr>
      </w:pPr>
    </w:p>
    <w:p w:rsidR="00C44BD1" w:rsidRDefault="00C44BD1" w:rsidP="00C44BD1">
      <w:pPr>
        <w:spacing w:after="0" w:line="240" w:lineRule="auto"/>
        <w:rPr>
          <w:rFonts w:ascii="Arial" w:eastAsia="Times New Roman" w:hAnsi="Arial" w:cs="Arial"/>
          <w:b/>
          <w:color w:val="005EB8"/>
          <w:lang w:eastAsia="en-GB"/>
        </w:rPr>
      </w:pPr>
    </w:p>
    <w:p w:rsidR="00C44BD1" w:rsidRDefault="00C44BD1" w:rsidP="00C44BD1">
      <w:pPr>
        <w:spacing w:after="0" w:line="240" w:lineRule="auto"/>
        <w:rPr>
          <w:rFonts w:ascii="Arial" w:eastAsia="Times New Roman" w:hAnsi="Arial" w:cs="Arial"/>
          <w:b/>
          <w:color w:val="005EB8"/>
          <w:lang w:eastAsia="en-GB"/>
        </w:rPr>
      </w:pPr>
    </w:p>
    <w:p w:rsidR="00C44BD1" w:rsidRDefault="00C44BD1" w:rsidP="00C44BD1">
      <w:pPr>
        <w:spacing w:after="0" w:line="240" w:lineRule="auto"/>
        <w:rPr>
          <w:rFonts w:ascii="Arial" w:eastAsia="Times New Roman" w:hAnsi="Arial" w:cs="Arial"/>
          <w:b/>
          <w:color w:val="005EB8"/>
          <w:lang w:eastAsia="en-GB"/>
        </w:rPr>
      </w:pPr>
    </w:p>
    <w:p w:rsidR="00C44BD1" w:rsidRDefault="00C44BD1" w:rsidP="00C44BD1">
      <w:pPr>
        <w:spacing w:after="0" w:line="240" w:lineRule="auto"/>
        <w:rPr>
          <w:rFonts w:ascii="Arial" w:eastAsia="Times New Roman" w:hAnsi="Arial" w:cs="Arial"/>
          <w:b/>
          <w:color w:val="005EB8"/>
          <w:lang w:eastAsia="en-GB"/>
        </w:rPr>
      </w:pPr>
    </w:p>
    <w:p w:rsidR="00C44BD1" w:rsidRDefault="00C44BD1" w:rsidP="00C44BD1">
      <w:pPr>
        <w:spacing w:after="0" w:line="240" w:lineRule="auto"/>
        <w:rPr>
          <w:rFonts w:ascii="Arial" w:eastAsia="Times New Roman" w:hAnsi="Arial" w:cs="Arial"/>
          <w:b/>
          <w:color w:val="005EB8"/>
          <w:lang w:eastAsia="en-GB"/>
        </w:rPr>
      </w:pPr>
    </w:p>
    <w:p w:rsidR="00C44BD1" w:rsidRDefault="00C44BD1" w:rsidP="00C44BD1">
      <w:pPr>
        <w:spacing w:after="0" w:line="240" w:lineRule="auto"/>
        <w:rPr>
          <w:rFonts w:ascii="Arial" w:eastAsia="Times New Roman" w:hAnsi="Arial" w:cs="Arial"/>
          <w:b/>
          <w:color w:val="005EB8"/>
          <w:lang w:eastAsia="en-GB"/>
        </w:rPr>
      </w:pPr>
    </w:p>
    <w:p w:rsidR="00C44BD1" w:rsidRDefault="00C44BD1" w:rsidP="00C44BD1">
      <w:pPr>
        <w:spacing w:after="0" w:line="240" w:lineRule="auto"/>
        <w:rPr>
          <w:rFonts w:ascii="Arial" w:eastAsia="Times New Roman" w:hAnsi="Arial" w:cs="Arial"/>
          <w:b/>
          <w:color w:val="005EB8"/>
          <w:lang w:eastAsia="en-GB"/>
        </w:rPr>
      </w:pPr>
    </w:p>
    <w:p w:rsidR="00355D92" w:rsidRDefault="00355D92" w:rsidP="00C44BD1">
      <w:pPr>
        <w:rPr>
          <w:rFonts w:ascii="Arial" w:hAnsi="Arial" w:cs="Arial"/>
        </w:rPr>
      </w:pPr>
    </w:p>
    <w:sectPr w:rsidR="00355D92" w:rsidSect="00784FB2">
      <w:headerReference w:type="default" r:id="rId19"/>
      <w:footerReference w:type="default" r:id="rId20"/>
      <w:pgSz w:w="11906" w:h="16838"/>
      <w:pgMar w:top="1276" w:right="1021" w:bottom="1021" w:left="851" w:header="708" w:footer="1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0E7" w:rsidRDefault="00AB00E7" w:rsidP="00526460">
      <w:pPr>
        <w:spacing w:after="0" w:line="240" w:lineRule="auto"/>
      </w:pPr>
      <w:r>
        <w:separator/>
      </w:r>
    </w:p>
  </w:endnote>
  <w:endnote w:type="continuationSeparator" w:id="0">
    <w:p w:rsidR="00AB00E7" w:rsidRDefault="00AB00E7" w:rsidP="0052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F3" w:rsidRDefault="00816FC7" w:rsidP="00C13A74">
    <w:pPr>
      <w:pStyle w:val="Footer"/>
      <w:jc w:val="right"/>
    </w:pPr>
    <w:r w:rsidRPr="00816FC7">
      <w:rPr>
        <w:noProof/>
      </w:rPr>
      <w:drawing>
        <wp:anchor distT="0" distB="0" distL="114300" distR="114300" simplePos="0" relativeHeight="251657216" behindDoc="1" locked="0" layoutInCell="1" allowOverlap="1" wp14:anchorId="720E4BA4" wp14:editId="2978D6FA">
          <wp:simplePos x="0" y="0"/>
          <wp:positionH relativeFrom="column">
            <wp:posOffset>3521075</wp:posOffset>
          </wp:positionH>
          <wp:positionV relativeFrom="paragraph">
            <wp:posOffset>-50165</wp:posOffset>
          </wp:positionV>
          <wp:extent cx="2679065" cy="95885"/>
          <wp:effectExtent l="0" t="0" r="0" b="0"/>
          <wp:wrapTight wrapText="bothSides">
            <wp:wrapPolygon edited="0">
              <wp:start x="0" y="0"/>
              <wp:lineTo x="0" y="17166"/>
              <wp:lineTo x="21349" y="17166"/>
              <wp:lineTo x="21349" y="0"/>
              <wp:lineTo x="0" y="0"/>
            </wp:wrapPolygon>
          </wp:wrapTight>
          <wp:docPr id="66" name="Picture 66" descr="X:\Communications\Brand\Brand refresh\New PNGs\PAHT-values-2021-1-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s\Brand\Brand refresh\New PNGs\PAHT-values-2021-1-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79065" cy="95885"/>
                  </a:xfrm>
                  <a:prstGeom prst="rect">
                    <a:avLst/>
                  </a:prstGeom>
                  <a:noFill/>
                  <a:ln>
                    <a:noFill/>
                  </a:ln>
                </pic:spPr>
              </pic:pic>
            </a:graphicData>
          </a:graphic>
        </wp:anchor>
      </w:drawing>
    </w:r>
    <w:r w:rsidRPr="00816FC7">
      <w:rPr>
        <w:noProof/>
      </w:rPr>
      <w:drawing>
        <wp:anchor distT="0" distB="0" distL="114300" distR="114300" simplePos="0" relativeHeight="251704320" behindDoc="1" locked="0" layoutInCell="1" allowOverlap="1" wp14:anchorId="63F1BDA7" wp14:editId="4C058EC0">
          <wp:simplePos x="0" y="0"/>
          <wp:positionH relativeFrom="column">
            <wp:posOffset>-191386</wp:posOffset>
          </wp:positionH>
          <wp:positionV relativeFrom="paragraph">
            <wp:posOffset>-458234</wp:posOffset>
          </wp:positionV>
          <wp:extent cx="1780540" cy="504190"/>
          <wp:effectExtent l="0" t="0" r="0" b="0"/>
          <wp:wrapTight wrapText="bothSides">
            <wp:wrapPolygon edited="0">
              <wp:start x="0" y="0"/>
              <wp:lineTo x="0" y="20403"/>
              <wp:lineTo x="21261" y="20403"/>
              <wp:lineTo x="21261" y="0"/>
              <wp:lineTo x="0" y="0"/>
            </wp:wrapPolygon>
          </wp:wrapTight>
          <wp:docPr id="67" name="Picture 67" descr="X:\Communications\Brand\Brand refresh\New PNGs\PAHT-5Ps-objectives-2021-1-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ommunications\Brand\Brand refresh\New PNGs\PAHT-5Ps-objectives-2021-1-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054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0E7" w:rsidRDefault="00AB00E7" w:rsidP="00526460">
      <w:pPr>
        <w:spacing w:after="0" w:line="240" w:lineRule="auto"/>
      </w:pPr>
      <w:r>
        <w:separator/>
      </w:r>
    </w:p>
  </w:footnote>
  <w:footnote w:type="continuationSeparator" w:id="0">
    <w:p w:rsidR="00AB00E7" w:rsidRDefault="00AB00E7" w:rsidP="00526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FA8" w:rsidRDefault="006F4AD6" w:rsidP="00BD6FA8">
    <w:pPr>
      <w:pStyle w:val="Header"/>
      <w:jc w:val="right"/>
      <w:rPr>
        <w:sz w:val="16"/>
        <w:szCs w:val="16"/>
      </w:rPr>
    </w:pPr>
    <w:r>
      <w:rPr>
        <w:noProof/>
        <w:sz w:val="16"/>
        <w:szCs w:val="16"/>
      </w:rPr>
      <w:drawing>
        <wp:anchor distT="0" distB="0" distL="114300" distR="114300" simplePos="0" relativeHeight="251661312" behindDoc="1" locked="0" layoutInCell="1" allowOverlap="1">
          <wp:simplePos x="0" y="0"/>
          <wp:positionH relativeFrom="column">
            <wp:posOffset>5009515</wp:posOffset>
          </wp:positionH>
          <wp:positionV relativeFrom="paragraph">
            <wp:posOffset>-278130</wp:posOffset>
          </wp:positionV>
          <wp:extent cx="1706245" cy="693420"/>
          <wp:effectExtent l="0" t="0" r="8255" b="0"/>
          <wp:wrapTight wrapText="bothSides">
            <wp:wrapPolygon edited="0">
              <wp:start x="13987" y="0"/>
              <wp:lineTo x="0" y="7714"/>
              <wp:lineTo x="0" y="12462"/>
              <wp:lineTo x="14952" y="18989"/>
              <wp:lineTo x="14952" y="20769"/>
              <wp:lineTo x="21463" y="20769"/>
              <wp:lineTo x="21463" y="0"/>
              <wp:lineTo x="13987"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_logo_RGB_Right Align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6245" cy="693420"/>
                  </a:xfrm>
                  <a:prstGeom prst="rect">
                    <a:avLst/>
                  </a:prstGeom>
                </pic:spPr>
              </pic:pic>
            </a:graphicData>
          </a:graphic>
          <wp14:sizeRelH relativeFrom="page">
            <wp14:pctWidth>0</wp14:pctWidth>
          </wp14:sizeRelH>
          <wp14:sizeRelV relativeFrom="page">
            <wp14:pctHeight>0</wp14:pctHeight>
          </wp14:sizeRelV>
        </wp:anchor>
      </w:drawing>
    </w:r>
  </w:p>
  <w:p w:rsidR="003F2D64" w:rsidRPr="003F2D64" w:rsidRDefault="007F3C7F" w:rsidP="00BD6FA8">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D537E"/>
    <w:multiLevelType w:val="hybridMultilevel"/>
    <w:tmpl w:val="5ABA00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5AC2A9F"/>
    <w:multiLevelType w:val="hybridMultilevel"/>
    <w:tmpl w:val="C33C617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E694990"/>
    <w:multiLevelType w:val="hybridMultilevel"/>
    <w:tmpl w:val="D7DA81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F33617"/>
    <w:multiLevelType w:val="multilevel"/>
    <w:tmpl w:val="EFDA3C0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3DD37D3A"/>
    <w:multiLevelType w:val="hybridMultilevel"/>
    <w:tmpl w:val="3A26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9233F2"/>
    <w:multiLevelType w:val="hybridMultilevel"/>
    <w:tmpl w:val="8A708B1A"/>
    <w:lvl w:ilvl="0" w:tplc="B6E86F9E">
      <w:start w:val="3"/>
      <w:numFmt w:val="bullet"/>
      <w:lvlText w:val="-"/>
      <w:lvlJc w:val="left"/>
      <w:pPr>
        <w:ind w:left="1789" w:hanging="360"/>
      </w:pPr>
      <w:rPr>
        <w:rFonts w:ascii="Arial" w:eastAsia="Times New Roman" w:hAnsi="Arial" w:cs="Aria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6" w15:restartNumberingAfterBreak="0">
    <w:nsid w:val="406D4ECE"/>
    <w:multiLevelType w:val="hybridMultilevel"/>
    <w:tmpl w:val="DBD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E4687F"/>
    <w:multiLevelType w:val="hybridMultilevel"/>
    <w:tmpl w:val="4F7246A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44B52529"/>
    <w:multiLevelType w:val="multilevel"/>
    <w:tmpl w:val="C11E4F3A"/>
    <w:lvl w:ilvl="0">
      <w:start w:val="1"/>
      <w:numFmt w:val="decimal"/>
      <w:lvlText w:val="%1."/>
      <w:lvlJc w:val="left"/>
      <w:pPr>
        <w:ind w:left="1080" w:hanging="360"/>
      </w:pPr>
      <w:rPr>
        <w:rFonts w:hint="default"/>
        <w:color w:val="000000" w:themeColor="text1"/>
      </w:rPr>
    </w:lvl>
    <w:lvl w:ilvl="1">
      <w:start w:val="1"/>
      <w:numFmt w:val="decimal"/>
      <w:isLgl/>
      <w:lvlText w:val="%1.%2"/>
      <w:lvlJc w:val="left"/>
      <w:pPr>
        <w:ind w:left="1440" w:hanging="360"/>
      </w:pPr>
      <w:rPr>
        <w:rFonts w:hint="default"/>
        <w:color w:val="000000" w:themeColor="text1"/>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15:restartNumberingAfterBreak="0">
    <w:nsid w:val="461304BD"/>
    <w:multiLevelType w:val="hybridMultilevel"/>
    <w:tmpl w:val="CC30C8D2"/>
    <w:lvl w:ilvl="0" w:tplc="966E96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526635"/>
    <w:multiLevelType w:val="hybridMultilevel"/>
    <w:tmpl w:val="A2BA4760"/>
    <w:lvl w:ilvl="0" w:tplc="7452C98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7D0CA4"/>
    <w:multiLevelType w:val="hybridMultilevel"/>
    <w:tmpl w:val="66B4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425D77"/>
    <w:multiLevelType w:val="hybridMultilevel"/>
    <w:tmpl w:val="B41897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6A5DAF"/>
    <w:multiLevelType w:val="multilevel"/>
    <w:tmpl w:val="AC1669D4"/>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7BE545A"/>
    <w:multiLevelType w:val="hybridMultilevel"/>
    <w:tmpl w:val="4F7246A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5" w15:restartNumberingAfterBreak="0">
    <w:nsid w:val="58377808"/>
    <w:multiLevelType w:val="hybridMultilevel"/>
    <w:tmpl w:val="6922A158"/>
    <w:lvl w:ilvl="0" w:tplc="2F5C27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4D7587"/>
    <w:multiLevelType w:val="hybridMultilevel"/>
    <w:tmpl w:val="349A4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C0611F5"/>
    <w:multiLevelType w:val="hybridMultilevel"/>
    <w:tmpl w:val="26CCB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CC0255"/>
    <w:multiLevelType w:val="hybridMultilevel"/>
    <w:tmpl w:val="41887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6388E"/>
    <w:multiLevelType w:val="hybridMultilevel"/>
    <w:tmpl w:val="A2CE27B8"/>
    <w:lvl w:ilvl="0" w:tplc="B6E86F9E">
      <w:start w:val="3"/>
      <w:numFmt w:val="bullet"/>
      <w:lvlText w:val="-"/>
      <w:lvlJc w:val="left"/>
      <w:pPr>
        <w:ind w:left="2498" w:hanging="360"/>
      </w:pPr>
      <w:rPr>
        <w:rFonts w:ascii="Arial" w:eastAsia="Times New Roman"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71FD524C"/>
    <w:multiLevelType w:val="multilevel"/>
    <w:tmpl w:val="F59AB1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2742F55"/>
    <w:multiLevelType w:val="hybridMultilevel"/>
    <w:tmpl w:val="5840E8EC"/>
    <w:lvl w:ilvl="0" w:tplc="08090001">
      <w:start w:val="1"/>
      <w:numFmt w:val="bullet"/>
      <w:lvlText w:val=""/>
      <w:lvlJc w:val="left"/>
      <w:pPr>
        <w:ind w:left="1384" w:hanging="360"/>
      </w:pPr>
      <w:rPr>
        <w:rFonts w:ascii="Symbol" w:hAnsi="Symbol" w:hint="default"/>
      </w:rPr>
    </w:lvl>
    <w:lvl w:ilvl="1" w:tplc="08090003" w:tentative="1">
      <w:start w:val="1"/>
      <w:numFmt w:val="bullet"/>
      <w:lvlText w:val="o"/>
      <w:lvlJc w:val="left"/>
      <w:pPr>
        <w:ind w:left="2104" w:hanging="360"/>
      </w:pPr>
      <w:rPr>
        <w:rFonts w:ascii="Courier New" w:hAnsi="Courier New" w:cs="Courier New" w:hint="default"/>
      </w:rPr>
    </w:lvl>
    <w:lvl w:ilvl="2" w:tplc="08090005" w:tentative="1">
      <w:start w:val="1"/>
      <w:numFmt w:val="bullet"/>
      <w:lvlText w:val=""/>
      <w:lvlJc w:val="left"/>
      <w:pPr>
        <w:ind w:left="2824" w:hanging="360"/>
      </w:pPr>
      <w:rPr>
        <w:rFonts w:ascii="Wingdings" w:hAnsi="Wingdings" w:hint="default"/>
      </w:rPr>
    </w:lvl>
    <w:lvl w:ilvl="3" w:tplc="08090001" w:tentative="1">
      <w:start w:val="1"/>
      <w:numFmt w:val="bullet"/>
      <w:lvlText w:val=""/>
      <w:lvlJc w:val="left"/>
      <w:pPr>
        <w:ind w:left="3544" w:hanging="360"/>
      </w:pPr>
      <w:rPr>
        <w:rFonts w:ascii="Symbol" w:hAnsi="Symbol" w:hint="default"/>
      </w:rPr>
    </w:lvl>
    <w:lvl w:ilvl="4" w:tplc="08090003" w:tentative="1">
      <w:start w:val="1"/>
      <w:numFmt w:val="bullet"/>
      <w:lvlText w:val="o"/>
      <w:lvlJc w:val="left"/>
      <w:pPr>
        <w:ind w:left="4264" w:hanging="360"/>
      </w:pPr>
      <w:rPr>
        <w:rFonts w:ascii="Courier New" w:hAnsi="Courier New" w:cs="Courier New" w:hint="default"/>
      </w:rPr>
    </w:lvl>
    <w:lvl w:ilvl="5" w:tplc="08090005" w:tentative="1">
      <w:start w:val="1"/>
      <w:numFmt w:val="bullet"/>
      <w:lvlText w:val=""/>
      <w:lvlJc w:val="left"/>
      <w:pPr>
        <w:ind w:left="4984" w:hanging="360"/>
      </w:pPr>
      <w:rPr>
        <w:rFonts w:ascii="Wingdings" w:hAnsi="Wingdings" w:hint="default"/>
      </w:rPr>
    </w:lvl>
    <w:lvl w:ilvl="6" w:tplc="08090001" w:tentative="1">
      <w:start w:val="1"/>
      <w:numFmt w:val="bullet"/>
      <w:lvlText w:val=""/>
      <w:lvlJc w:val="left"/>
      <w:pPr>
        <w:ind w:left="5704" w:hanging="360"/>
      </w:pPr>
      <w:rPr>
        <w:rFonts w:ascii="Symbol" w:hAnsi="Symbol" w:hint="default"/>
      </w:rPr>
    </w:lvl>
    <w:lvl w:ilvl="7" w:tplc="08090003" w:tentative="1">
      <w:start w:val="1"/>
      <w:numFmt w:val="bullet"/>
      <w:lvlText w:val="o"/>
      <w:lvlJc w:val="left"/>
      <w:pPr>
        <w:ind w:left="6424" w:hanging="360"/>
      </w:pPr>
      <w:rPr>
        <w:rFonts w:ascii="Courier New" w:hAnsi="Courier New" w:cs="Courier New" w:hint="default"/>
      </w:rPr>
    </w:lvl>
    <w:lvl w:ilvl="8" w:tplc="08090005" w:tentative="1">
      <w:start w:val="1"/>
      <w:numFmt w:val="bullet"/>
      <w:lvlText w:val=""/>
      <w:lvlJc w:val="left"/>
      <w:pPr>
        <w:ind w:left="7144" w:hanging="360"/>
      </w:pPr>
      <w:rPr>
        <w:rFonts w:ascii="Wingdings" w:hAnsi="Wingdings" w:hint="default"/>
      </w:rPr>
    </w:lvl>
  </w:abstractNum>
  <w:abstractNum w:abstractNumId="22" w15:restartNumberingAfterBreak="0">
    <w:nsid w:val="729F166C"/>
    <w:multiLevelType w:val="hybridMultilevel"/>
    <w:tmpl w:val="DA3830CE"/>
    <w:lvl w:ilvl="0" w:tplc="B6E86F9E">
      <w:start w:val="3"/>
      <w:numFmt w:val="bullet"/>
      <w:lvlText w:val="-"/>
      <w:lvlJc w:val="left"/>
      <w:pPr>
        <w:ind w:left="1789"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1126A1"/>
    <w:multiLevelType w:val="hybridMultilevel"/>
    <w:tmpl w:val="39A28FE8"/>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4" w15:restartNumberingAfterBreak="0">
    <w:nsid w:val="796B5F8E"/>
    <w:multiLevelType w:val="hybridMultilevel"/>
    <w:tmpl w:val="34EE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3759E8"/>
    <w:multiLevelType w:val="hybridMultilevel"/>
    <w:tmpl w:val="C5FE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
  </w:num>
  <w:num w:numId="4">
    <w:abstractNumId w:val="14"/>
  </w:num>
  <w:num w:numId="5">
    <w:abstractNumId w:val="12"/>
  </w:num>
  <w:num w:numId="6">
    <w:abstractNumId w:val="15"/>
  </w:num>
  <w:num w:numId="7">
    <w:abstractNumId w:val="0"/>
  </w:num>
  <w:num w:numId="8">
    <w:abstractNumId w:val="17"/>
  </w:num>
  <w:num w:numId="9">
    <w:abstractNumId w:val="5"/>
  </w:num>
  <w:num w:numId="10">
    <w:abstractNumId w:val="19"/>
  </w:num>
  <w:num w:numId="11">
    <w:abstractNumId w:val="13"/>
  </w:num>
  <w:num w:numId="12">
    <w:abstractNumId w:val="22"/>
  </w:num>
  <w:num w:numId="13">
    <w:abstractNumId w:val="24"/>
  </w:num>
  <w:num w:numId="14">
    <w:abstractNumId w:val="21"/>
  </w:num>
  <w:num w:numId="15">
    <w:abstractNumId w:val="20"/>
  </w:num>
  <w:num w:numId="16">
    <w:abstractNumId w:val="11"/>
  </w:num>
  <w:num w:numId="17">
    <w:abstractNumId w:val="10"/>
  </w:num>
  <w:num w:numId="18">
    <w:abstractNumId w:val="16"/>
  </w:num>
  <w:num w:numId="19">
    <w:abstractNumId w:val="6"/>
  </w:num>
  <w:num w:numId="20">
    <w:abstractNumId w:val="25"/>
  </w:num>
  <w:num w:numId="21">
    <w:abstractNumId w:val="9"/>
  </w:num>
  <w:num w:numId="22">
    <w:abstractNumId w:val="8"/>
  </w:num>
  <w:num w:numId="23">
    <w:abstractNumId w:val="2"/>
  </w:num>
  <w:num w:numId="24">
    <w:abstractNumId w:val="3"/>
  </w:num>
  <w:num w:numId="25">
    <w:abstractNumId w:val="1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92"/>
    <w:rsid w:val="00032C2B"/>
    <w:rsid w:val="00060528"/>
    <w:rsid w:val="00072A3C"/>
    <w:rsid w:val="0007681B"/>
    <w:rsid w:val="00087F58"/>
    <w:rsid w:val="000B4B34"/>
    <w:rsid w:val="000E72B0"/>
    <w:rsid w:val="000F4493"/>
    <w:rsid w:val="000F47F4"/>
    <w:rsid w:val="00152E39"/>
    <w:rsid w:val="001835F2"/>
    <w:rsid w:val="001A273E"/>
    <w:rsid w:val="001B6DB5"/>
    <w:rsid w:val="001C52C8"/>
    <w:rsid w:val="001C6232"/>
    <w:rsid w:val="001D6919"/>
    <w:rsid w:val="0020405C"/>
    <w:rsid w:val="00212ECF"/>
    <w:rsid w:val="002156A4"/>
    <w:rsid w:val="0022149B"/>
    <w:rsid w:val="00233EBF"/>
    <w:rsid w:val="00252C79"/>
    <w:rsid w:val="00261880"/>
    <w:rsid w:val="00283E51"/>
    <w:rsid w:val="002865A9"/>
    <w:rsid w:val="002B7B3E"/>
    <w:rsid w:val="002E1E8D"/>
    <w:rsid w:val="00302F4F"/>
    <w:rsid w:val="00306483"/>
    <w:rsid w:val="003111A8"/>
    <w:rsid w:val="003163DF"/>
    <w:rsid w:val="00330B7A"/>
    <w:rsid w:val="00355D92"/>
    <w:rsid w:val="00396B96"/>
    <w:rsid w:val="003A3254"/>
    <w:rsid w:val="003A4267"/>
    <w:rsid w:val="003A6F56"/>
    <w:rsid w:val="003D165B"/>
    <w:rsid w:val="003E0BC9"/>
    <w:rsid w:val="003F31B6"/>
    <w:rsid w:val="00422B96"/>
    <w:rsid w:val="0044025E"/>
    <w:rsid w:val="00457919"/>
    <w:rsid w:val="00461460"/>
    <w:rsid w:val="00481B96"/>
    <w:rsid w:val="00484C43"/>
    <w:rsid w:val="004932A3"/>
    <w:rsid w:val="00495A02"/>
    <w:rsid w:val="004A14AD"/>
    <w:rsid w:val="004A1B3B"/>
    <w:rsid w:val="004C1855"/>
    <w:rsid w:val="004C53AA"/>
    <w:rsid w:val="004C77CE"/>
    <w:rsid w:val="004D24B6"/>
    <w:rsid w:val="004D77D2"/>
    <w:rsid w:val="004F1DB2"/>
    <w:rsid w:val="004F5DAB"/>
    <w:rsid w:val="005016B9"/>
    <w:rsid w:val="00502A96"/>
    <w:rsid w:val="00504DD5"/>
    <w:rsid w:val="00517006"/>
    <w:rsid w:val="00526460"/>
    <w:rsid w:val="00535BA1"/>
    <w:rsid w:val="005A7F10"/>
    <w:rsid w:val="005B1E79"/>
    <w:rsid w:val="005B4B70"/>
    <w:rsid w:val="005B7A1D"/>
    <w:rsid w:val="005C47E1"/>
    <w:rsid w:val="005C5E19"/>
    <w:rsid w:val="005E57EF"/>
    <w:rsid w:val="005F3048"/>
    <w:rsid w:val="005F4372"/>
    <w:rsid w:val="006014B8"/>
    <w:rsid w:val="00623659"/>
    <w:rsid w:val="00630A7C"/>
    <w:rsid w:val="00647EA4"/>
    <w:rsid w:val="00691507"/>
    <w:rsid w:val="0069647A"/>
    <w:rsid w:val="006C06B1"/>
    <w:rsid w:val="006F1DCA"/>
    <w:rsid w:val="006F4AD6"/>
    <w:rsid w:val="00706A41"/>
    <w:rsid w:val="00725CC7"/>
    <w:rsid w:val="00743A0B"/>
    <w:rsid w:val="007454D3"/>
    <w:rsid w:val="007615E6"/>
    <w:rsid w:val="00784FB2"/>
    <w:rsid w:val="007B0D92"/>
    <w:rsid w:val="007B2BEB"/>
    <w:rsid w:val="007B7019"/>
    <w:rsid w:val="007C24A8"/>
    <w:rsid w:val="007D215C"/>
    <w:rsid w:val="007F3C7F"/>
    <w:rsid w:val="00810265"/>
    <w:rsid w:val="00813F3C"/>
    <w:rsid w:val="00816FC7"/>
    <w:rsid w:val="00817F9E"/>
    <w:rsid w:val="00852FCA"/>
    <w:rsid w:val="00855089"/>
    <w:rsid w:val="008679B1"/>
    <w:rsid w:val="008B2EF5"/>
    <w:rsid w:val="008B4332"/>
    <w:rsid w:val="008D5664"/>
    <w:rsid w:val="00934987"/>
    <w:rsid w:val="0094599B"/>
    <w:rsid w:val="009558B7"/>
    <w:rsid w:val="00993502"/>
    <w:rsid w:val="009B680E"/>
    <w:rsid w:val="009E5B46"/>
    <w:rsid w:val="00A310C9"/>
    <w:rsid w:val="00A43774"/>
    <w:rsid w:val="00A46A89"/>
    <w:rsid w:val="00A51EBF"/>
    <w:rsid w:val="00A63711"/>
    <w:rsid w:val="00A702E5"/>
    <w:rsid w:val="00AA36F2"/>
    <w:rsid w:val="00AB00E7"/>
    <w:rsid w:val="00AD367C"/>
    <w:rsid w:val="00AE0766"/>
    <w:rsid w:val="00AE4506"/>
    <w:rsid w:val="00AE6F58"/>
    <w:rsid w:val="00AF3C0F"/>
    <w:rsid w:val="00B00911"/>
    <w:rsid w:val="00B012E0"/>
    <w:rsid w:val="00B14161"/>
    <w:rsid w:val="00B15F9E"/>
    <w:rsid w:val="00B92BF8"/>
    <w:rsid w:val="00BE0D87"/>
    <w:rsid w:val="00BF0257"/>
    <w:rsid w:val="00C06039"/>
    <w:rsid w:val="00C13A74"/>
    <w:rsid w:val="00C1520E"/>
    <w:rsid w:val="00C23D01"/>
    <w:rsid w:val="00C3635E"/>
    <w:rsid w:val="00C44BD1"/>
    <w:rsid w:val="00C45D3F"/>
    <w:rsid w:val="00C57101"/>
    <w:rsid w:val="00C71AAA"/>
    <w:rsid w:val="00CB19F3"/>
    <w:rsid w:val="00CB7EB8"/>
    <w:rsid w:val="00CC3881"/>
    <w:rsid w:val="00CC42D7"/>
    <w:rsid w:val="00CF4CDD"/>
    <w:rsid w:val="00D21BEC"/>
    <w:rsid w:val="00D55D8F"/>
    <w:rsid w:val="00D61578"/>
    <w:rsid w:val="00D6680A"/>
    <w:rsid w:val="00D751BD"/>
    <w:rsid w:val="00D821E2"/>
    <w:rsid w:val="00DB1146"/>
    <w:rsid w:val="00DB32F7"/>
    <w:rsid w:val="00DC3421"/>
    <w:rsid w:val="00DC3BCD"/>
    <w:rsid w:val="00DD4146"/>
    <w:rsid w:val="00DD4391"/>
    <w:rsid w:val="00DF7CB6"/>
    <w:rsid w:val="00E03BF4"/>
    <w:rsid w:val="00E36152"/>
    <w:rsid w:val="00E662DC"/>
    <w:rsid w:val="00E76D47"/>
    <w:rsid w:val="00E8246D"/>
    <w:rsid w:val="00E84FED"/>
    <w:rsid w:val="00E9073B"/>
    <w:rsid w:val="00EB38B7"/>
    <w:rsid w:val="00EC6727"/>
    <w:rsid w:val="00ED1BF9"/>
    <w:rsid w:val="00EE28DA"/>
    <w:rsid w:val="00F20134"/>
    <w:rsid w:val="00F20A87"/>
    <w:rsid w:val="00F212E6"/>
    <w:rsid w:val="00F22C4E"/>
    <w:rsid w:val="00F23E0A"/>
    <w:rsid w:val="00F3164B"/>
    <w:rsid w:val="00F5277C"/>
    <w:rsid w:val="00F7493B"/>
    <w:rsid w:val="00F87D4B"/>
    <w:rsid w:val="00FA71E7"/>
    <w:rsid w:val="00FD1E76"/>
    <w:rsid w:val="00FD43E6"/>
    <w:rsid w:val="00FD6D41"/>
    <w:rsid w:val="00FE0292"/>
    <w:rsid w:val="00FE3516"/>
    <w:rsid w:val="00FF7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82BAD9"/>
  <w15:docId w15:val="{3F59978A-0BEF-4C0A-BE7B-994F20B7A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292"/>
    <w:pPr>
      <w:tabs>
        <w:tab w:val="center" w:pos="4513"/>
        <w:tab w:val="right" w:pos="9026"/>
      </w:tabs>
      <w:spacing w:after="0" w:line="240" w:lineRule="auto"/>
      <w:jc w:val="both"/>
    </w:pPr>
    <w:rPr>
      <w:rFonts w:ascii="Arial" w:eastAsia="Times New Roman" w:hAnsi="Arial" w:cs="Arial"/>
      <w:lang w:eastAsia="en-GB"/>
    </w:rPr>
  </w:style>
  <w:style w:type="character" w:customStyle="1" w:styleId="HeaderChar">
    <w:name w:val="Header Char"/>
    <w:basedOn w:val="DefaultParagraphFont"/>
    <w:link w:val="Header"/>
    <w:uiPriority w:val="99"/>
    <w:rsid w:val="00FE0292"/>
    <w:rPr>
      <w:rFonts w:ascii="Arial" w:eastAsia="Times New Roman" w:hAnsi="Arial" w:cs="Arial"/>
      <w:lang w:eastAsia="en-GB"/>
    </w:rPr>
  </w:style>
  <w:style w:type="paragraph" w:styleId="Footer">
    <w:name w:val="footer"/>
    <w:basedOn w:val="Normal"/>
    <w:link w:val="FooterChar"/>
    <w:uiPriority w:val="99"/>
    <w:unhideWhenUsed/>
    <w:rsid w:val="00FE0292"/>
    <w:pPr>
      <w:tabs>
        <w:tab w:val="center" w:pos="4513"/>
        <w:tab w:val="right" w:pos="9026"/>
      </w:tabs>
      <w:spacing w:after="0" w:line="240" w:lineRule="auto"/>
      <w:jc w:val="both"/>
    </w:pPr>
    <w:rPr>
      <w:rFonts w:ascii="Arial" w:eastAsia="Times New Roman" w:hAnsi="Arial" w:cs="Arial"/>
      <w:lang w:eastAsia="en-GB"/>
    </w:rPr>
  </w:style>
  <w:style w:type="character" w:customStyle="1" w:styleId="FooterChar">
    <w:name w:val="Footer Char"/>
    <w:basedOn w:val="DefaultParagraphFont"/>
    <w:link w:val="Footer"/>
    <w:uiPriority w:val="99"/>
    <w:rsid w:val="00FE0292"/>
    <w:rPr>
      <w:rFonts w:ascii="Arial" w:eastAsia="Times New Roman" w:hAnsi="Arial" w:cs="Arial"/>
      <w:lang w:eastAsia="en-GB"/>
    </w:rPr>
  </w:style>
  <w:style w:type="paragraph" w:styleId="ListParagraph">
    <w:name w:val="List Paragraph"/>
    <w:basedOn w:val="Normal"/>
    <w:uiPriority w:val="34"/>
    <w:qFormat/>
    <w:rsid w:val="00526460"/>
    <w:pPr>
      <w:ind w:left="720"/>
      <w:contextualSpacing/>
    </w:pPr>
  </w:style>
  <w:style w:type="character" w:styleId="CommentReference">
    <w:name w:val="annotation reference"/>
    <w:basedOn w:val="DefaultParagraphFont"/>
    <w:uiPriority w:val="99"/>
    <w:semiHidden/>
    <w:unhideWhenUsed/>
    <w:rsid w:val="002E1E8D"/>
    <w:rPr>
      <w:sz w:val="16"/>
      <w:szCs w:val="16"/>
    </w:rPr>
  </w:style>
  <w:style w:type="paragraph" w:styleId="CommentText">
    <w:name w:val="annotation text"/>
    <w:basedOn w:val="Normal"/>
    <w:link w:val="CommentTextChar"/>
    <w:uiPriority w:val="99"/>
    <w:semiHidden/>
    <w:unhideWhenUsed/>
    <w:rsid w:val="002E1E8D"/>
    <w:pPr>
      <w:spacing w:line="240" w:lineRule="auto"/>
    </w:pPr>
    <w:rPr>
      <w:sz w:val="20"/>
      <w:szCs w:val="20"/>
    </w:rPr>
  </w:style>
  <w:style w:type="character" w:customStyle="1" w:styleId="CommentTextChar">
    <w:name w:val="Comment Text Char"/>
    <w:basedOn w:val="DefaultParagraphFont"/>
    <w:link w:val="CommentText"/>
    <w:uiPriority w:val="99"/>
    <w:semiHidden/>
    <w:rsid w:val="002E1E8D"/>
    <w:rPr>
      <w:sz w:val="20"/>
      <w:szCs w:val="20"/>
    </w:rPr>
  </w:style>
  <w:style w:type="paragraph" w:styleId="CommentSubject">
    <w:name w:val="annotation subject"/>
    <w:basedOn w:val="CommentText"/>
    <w:next w:val="CommentText"/>
    <w:link w:val="CommentSubjectChar"/>
    <w:uiPriority w:val="99"/>
    <w:semiHidden/>
    <w:unhideWhenUsed/>
    <w:rsid w:val="002E1E8D"/>
    <w:rPr>
      <w:b/>
      <w:bCs/>
    </w:rPr>
  </w:style>
  <w:style w:type="character" w:customStyle="1" w:styleId="CommentSubjectChar">
    <w:name w:val="Comment Subject Char"/>
    <w:basedOn w:val="CommentTextChar"/>
    <w:link w:val="CommentSubject"/>
    <w:uiPriority w:val="99"/>
    <w:semiHidden/>
    <w:rsid w:val="002E1E8D"/>
    <w:rPr>
      <w:b/>
      <w:bCs/>
      <w:sz w:val="20"/>
      <w:szCs w:val="20"/>
    </w:rPr>
  </w:style>
  <w:style w:type="paragraph" w:styleId="BalloonText">
    <w:name w:val="Balloon Text"/>
    <w:basedOn w:val="Normal"/>
    <w:link w:val="BalloonTextChar"/>
    <w:uiPriority w:val="99"/>
    <w:semiHidden/>
    <w:unhideWhenUsed/>
    <w:rsid w:val="002E1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E8D"/>
    <w:rPr>
      <w:rFonts w:ascii="Segoe UI" w:hAnsi="Segoe UI" w:cs="Segoe UI"/>
      <w:sz w:val="18"/>
      <w:szCs w:val="18"/>
    </w:rPr>
  </w:style>
  <w:style w:type="table" w:styleId="TableGrid">
    <w:name w:val="Table Grid"/>
    <w:basedOn w:val="TableNormal"/>
    <w:uiPriority w:val="59"/>
    <w:rsid w:val="00F23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E0A"/>
    <w:pPr>
      <w:autoSpaceDE w:val="0"/>
      <w:autoSpaceDN w:val="0"/>
      <w:adjustRightInd w:val="0"/>
      <w:spacing w:after="0" w:line="240" w:lineRule="auto"/>
    </w:pPr>
    <w:rPr>
      <w:rFonts w:ascii="Arial" w:eastAsia="Calibri" w:hAnsi="Arial" w:cs="Arial"/>
      <w:color w:val="000000"/>
      <w:sz w:val="24"/>
      <w:szCs w:val="24"/>
      <w:lang w:eastAsia="en-GB"/>
    </w:rPr>
  </w:style>
  <w:style w:type="paragraph" w:styleId="NoSpacing">
    <w:name w:val="No Spacing"/>
    <w:uiPriority w:val="1"/>
    <w:qFormat/>
    <w:rsid w:val="0081026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1254">
      <w:bodyDiv w:val="1"/>
      <w:marLeft w:val="0"/>
      <w:marRight w:val="0"/>
      <w:marTop w:val="0"/>
      <w:marBottom w:val="0"/>
      <w:divBdr>
        <w:top w:val="none" w:sz="0" w:space="0" w:color="auto"/>
        <w:left w:val="none" w:sz="0" w:space="0" w:color="auto"/>
        <w:bottom w:val="none" w:sz="0" w:space="0" w:color="auto"/>
        <w:right w:val="none" w:sz="0" w:space="0" w:color="auto"/>
      </w:divBdr>
    </w:div>
    <w:div w:id="114833323">
      <w:bodyDiv w:val="1"/>
      <w:marLeft w:val="0"/>
      <w:marRight w:val="0"/>
      <w:marTop w:val="0"/>
      <w:marBottom w:val="0"/>
      <w:divBdr>
        <w:top w:val="none" w:sz="0" w:space="0" w:color="auto"/>
        <w:left w:val="none" w:sz="0" w:space="0" w:color="auto"/>
        <w:bottom w:val="none" w:sz="0" w:space="0" w:color="auto"/>
        <w:right w:val="none" w:sz="0" w:space="0" w:color="auto"/>
      </w:divBdr>
    </w:div>
    <w:div w:id="432364241">
      <w:bodyDiv w:val="1"/>
      <w:marLeft w:val="0"/>
      <w:marRight w:val="0"/>
      <w:marTop w:val="0"/>
      <w:marBottom w:val="0"/>
      <w:divBdr>
        <w:top w:val="none" w:sz="0" w:space="0" w:color="auto"/>
        <w:left w:val="none" w:sz="0" w:space="0" w:color="auto"/>
        <w:bottom w:val="none" w:sz="0" w:space="0" w:color="auto"/>
        <w:right w:val="none" w:sz="0" w:space="0" w:color="auto"/>
      </w:divBdr>
    </w:div>
    <w:div w:id="901208935">
      <w:bodyDiv w:val="1"/>
      <w:marLeft w:val="0"/>
      <w:marRight w:val="0"/>
      <w:marTop w:val="0"/>
      <w:marBottom w:val="0"/>
      <w:divBdr>
        <w:top w:val="none" w:sz="0" w:space="0" w:color="auto"/>
        <w:left w:val="none" w:sz="0" w:space="0" w:color="auto"/>
        <w:bottom w:val="none" w:sz="0" w:space="0" w:color="auto"/>
        <w:right w:val="none" w:sz="0" w:space="0" w:color="auto"/>
      </w:divBdr>
    </w:div>
    <w:div w:id="930042716">
      <w:bodyDiv w:val="1"/>
      <w:marLeft w:val="0"/>
      <w:marRight w:val="0"/>
      <w:marTop w:val="0"/>
      <w:marBottom w:val="0"/>
      <w:divBdr>
        <w:top w:val="none" w:sz="0" w:space="0" w:color="auto"/>
        <w:left w:val="none" w:sz="0" w:space="0" w:color="auto"/>
        <w:bottom w:val="none" w:sz="0" w:space="0" w:color="auto"/>
        <w:right w:val="none" w:sz="0" w:space="0" w:color="auto"/>
      </w:divBdr>
    </w:div>
    <w:div w:id="974528634">
      <w:bodyDiv w:val="1"/>
      <w:marLeft w:val="0"/>
      <w:marRight w:val="0"/>
      <w:marTop w:val="0"/>
      <w:marBottom w:val="0"/>
      <w:divBdr>
        <w:top w:val="none" w:sz="0" w:space="0" w:color="auto"/>
        <w:left w:val="none" w:sz="0" w:space="0" w:color="auto"/>
        <w:bottom w:val="none" w:sz="0" w:space="0" w:color="auto"/>
        <w:right w:val="none" w:sz="0" w:space="0" w:color="auto"/>
      </w:divBdr>
    </w:div>
    <w:div w:id="1451902567">
      <w:bodyDiv w:val="1"/>
      <w:marLeft w:val="0"/>
      <w:marRight w:val="0"/>
      <w:marTop w:val="0"/>
      <w:marBottom w:val="0"/>
      <w:divBdr>
        <w:top w:val="none" w:sz="0" w:space="0" w:color="auto"/>
        <w:left w:val="none" w:sz="0" w:space="0" w:color="auto"/>
        <w:bottom w:val="none" w:sz="0" w:space="0" w:color="auto"/>
        <w:right w:val="none" w:sz="0" w:space="0" w:color="auto"/>
      </w:divBdr>
    </w:div>
    <w:div w:id="1579293020">
      <w:bodyDiv w:val="1"/>
      <w:marLeft w:val="0"/>
      <w:marRight w:val="0"/>
      <w:marTop w:val="0"/>
      <w:marBottom w:val="0"/>
      <w:divBdr>
        <w:top w:val="none" w:sz="0" w:space="0" w:color="auto"/>
        <w:left w:val="none" w:sz="0" w:space="0" w:color="auto"/>
        <w:bottom w:val="none" w:sz="0" w:space="0" w:color="auto"/>
        <w:right w:val="none" w:sz="0" w:space="0" w:color="auto"/>
      </w:divBdr>
    </w:div>
    <w:div w:id="1931618322">
      <w:bodyDiv w:val="1"/>
      <w:marLeft w:val="0"/>
      <w:marRight w:val="0"/>
      <w:marTop w:val="0"/>
      <w:marBottom w:val="0"/>
      <w:divBdr>
        <w:top w:val="none" w:sz="0" w:space="0" w:color="auto"/>
        <w:left w:val="none" w:sz="0" w:space="0" w:color="auto"/>
        <w:bottom w:val="none" w:sz="0" w:space="0" w:color="auto"/>
        <w:right w:val="none" w:sz="0" w:space="0" w:color="auto"/>
      </w:divBdr>
    </w:div>
    <w:div w:id="201002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file01\data$\HR\Workforce%20Intelligence\Management%20Information\Equality%20&amp;%20Diversity%20Report\Gender%20Pay%20Gap\2023%20Report%20-%20As%20of%2031.03.22\NHS%20Gender%20Pay%20Gap%20Ordinary%20Pay%20by%20Pers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r-file01\data$\HR\Workforce%20Intelligence\Management%20Information\Equality%20&amp;%20Diversity%20Report\Gender%20Pay%20Gap\2023%20Report%20-%20As%20of%2031.03.22\NHS%20Gender%20Pay%20Gap%20Ordinary%20Pay%20by%20Pers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r-file01\data$\HR\Workforce%20Intelligence\Management%20Information\Equality%20&amp;%20Diversity%20Report\Gender%20Pay%20Gap\2023%20Report%20-%20As%20of%2031.03.22\NHS%20Gender%20Pay%20Gap%20Ordinary%20Pay%20by%20Perso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sz="1400" b="1">
                <a:solidFill>
                  <a:sysClr val="windowText" lastClr="000000"/>
                </a:solidFill>
              </a:rPr>
              <a:t>Mean Average Pay</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Charts!$A$10</c:f>
              <c:strCache>
                <c:ptCount val="1"/>
                <c:pt idx="0">
                  <c:v>Men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Charts!$B$9:$F$9</c:f>
              <c:numCache>
                <c:formatCode>General</c:formatCode>
                <c:ptCount val="5"/>
                <c:pt idx="0">
                  <c:v>2018</c:v>
                </c:pt>
                <c:pt idx="1">
                  <c:v>2019</c:v>
                </c:pt>
                <c:pt idx="2">
                  <c:v>2020</c:v>
                </c:pt>
                <c:pt idx="3">
                  <c:v>2021</c:v>
                </c:pt>
                <c:pt idx="4">
                  <c:v>2022</c:v>
                </c:pt>
              </c:numCache>
            </c:numRef>
          </c:cat>
          <c:val>
            <c:numRef>
              <c:f>Charts!$B$10:$F$10</c:f>
              <c:numCache>
                <c:formatCode>"£"#,##0.00</c:formatCode>
                <c:ptCount val="5"/>
                <c:pt idx="0">
                  <c:v>22.32</c:v>
                </c:pt>
                <c:pt idx="1">
                  <c:v>22.56</c:v>
                </c:pt>
                <c:pt idx="2">
                  <c:v>23.08</c:v>
                </c:pt>
                <c:pt idx="3">
                  <c:v>23.83</c:v>
                </c:pt>
                <c:pt idx="4">
                  <c:v>24.04</c:v>
                </c:pt>
              </c:numCache>
            </c:numRef>
          </c:val>
          <c:extLst>
            <c:ext xmlns:c16="http://schemas.microsoft.com/office/drawing/2014/chart" uri="{C3380CC4-5D6E-409C-BE32-E72D297353CC}">
              <c16:uniqueId val="{00000000-E805-4841-AEAC-6D11046A5D3C}"/>
            </c:ext>
          </c:extLst>
        </c:ser>
        <c:ser>
          <c:idx val="1"/>
          <c:order val="1"/>
          <c:tx>
            <c:strRef>
              <c:f>Charts!$A$11</c:f>
              <c:strCache>
                <c:ptCount val="1"/>
                <c:pt idx="0">
                  <c:v>Women</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numRef>
              <c:f>Charts!$B$9:$F$9</c:f>
              <c:numCache>
                <c:formatCode>General</c:formatCode>
                <c:ptCount val="5"/>
                <c:pt idx="0">
                  <c:v>2018</c:v>
                </c:pt>
                <c:pt idx="1">
                  <c:v>2019</c:v>
                </c:pt>
                <c:pt idx="2">
                  <c:v>2020</c:v>
                </c:pt>
                <c:pt idx="3">
                  <c:v>2021</c:v>
                </c:pt>
                <c:pt idx="4">
                  <c:v>2022</c:v>
                </c:pt>
              </c:numCache>
            </c:numRef>
          </c:cat>
          <c:val>
            <c:numRef>
              <c:f>Charts!$B$11:$F$11</c:f>
              <c:numCache>
                <c:formatCode>"£"#,##0.00</c:formatCode>
                <c:ptCount val="5"/>
                <c:pt idx="0">
                  <c:v>15.8</c:v>
                </c:pt>
                <c:pt idx="1">
                  <c:v>16.170000000000002</c:v>
                </c:pt>
                <c:pt idx="2">
                  <c:v>16.75</c:v>
                </c:pt>
                <c:pt idx="3">
                  <c:v>17.45</c:v>
                </c:pt>
                <c:pt idx="4">
                  <c:v>18.170000000000002</c:v>
                </c:pt>
              </c:numCache>
            </c:numRef>
          </c:val>
          <c:extLst>
            <c:ext xmlns:c16="http://schemas.microsoft.com/office/drawing/2014/chart" uri="{C3380CC4-5D6E-409C-BE32-E72D297353CC}">
              <c16:uniqueId val="{00000001-E805-4841-AEAC-6D11046A5D3C}"/>
            </c:ext>
          </c:extLst>
        </c:ser>
        <c:dLbls>
          <c:showLegendKey val="0"/>
          <c:showVal val="0"/>
          <c:showCatName val="0"/>
          <c:showSerName val="0"/>
          <c:showPercent val="0"/>
          <c:showBubbleSize val="0"/>
        </c:dLbls>
        <c:gapWidth val="219"/>
        <c:overlap val="-27"/>
        <c:axId val="626322112"/>
        <c:axId val="568902336"/>
      </c:barChart>
      <c:lineChart>
        <c:grouping val="standard"/>
        <c:varyColors val="0"/>
        <c:ser>
          <c:idx val="2"/>
          <c:order val="2"/>
          <c:tx>
            <c:strRef>
              <c:f>Charts!$A$12</c:f>
              <c:strCache>
                <c:ptCount val="1"/>
                <c:pt idx="0">
                  <c:v>% Difference</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dLbls>
            <c:dLbl>
              <c:idx val="4"/>
              <c:layout>
                <c:manualLayout>
                  <c:x val="-5.3185201164922875E-2"/>
                  <c:y val="-0.2173702422145328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E79-4E56-8164-980566B06FD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Charts!$B$9:$F$9</c:f>
              <c:numCache>
                <c:formatCode>General</c:formatCode>
                <c:ptCount val="5"/>
                <c:pt idx="0">
                  <c:v>2018</c:v>
                </c:pt>
                <c:pt idx="1">
                  <c:v>2019</c:v>
                </c:pt>
                <c:pt idx="2">
                  <c:v>2020</c:v>
                </c:pt>
                <c:pt idx="3">
                  <c:v>2021</c:v>
                </c:pt>
                <c:pt idx="4">
                  <c:v>2022</c:v>
                </c:pt>
              </c:numCache>
            </c:numRef>
          </c:cat>
          <c:val>
            <c:numRef>
              <c:f>Charts!$B$12:$F$12</c:f>
              <c:numCache>
                <c:formatCode>0%</c:formatCode>
                <c:ptCount val="5"/>
                <c:pt idx="0">
                  <c:v>0.29239999999999999</c:v>
                </c:pt>
                <c:pt idx="1">
                  <c:v>0.28299999999999997</c:v>
                </c:pt>
                <c:pt idx="2">
                  <c:v>0.2742</c:v>
                </c:pt>
                <c:pt idx="3">
                  <c:v>0.27</c:v>
                </c:pt>
                <c:pt idx="4">
                  <c:v>0.24420000000000003</c:v>
                </c:pt>
              </c:numCache>
            </c:numRef>
          </c:val>
          <c:smooth val="0"/>
          <c:extLst>
            <c:ext xmlns:c16="http://schemas.microsoft.com/office/drawing/2014/chart" uri="{C3380CC4-5D6E-409C-BE32-E72D297353CC}">
              <c16:uniqueId val="{00000002-E805-4841-AEAC-6D11046A5D3C}"/>
            </c:ext>
          </c:extLst>
        </c:ser>
        <c:dLbls>
          <c:showLegendKey val="0"/>
          <c:showVal val="0"/>
          <c:showCatName val="0"/>
          <c:showSerName val="0"/>
          <c:showPercent val="0"/>
          <c:showBubbleSize val="0"/>
        </c:dLbls>
        <c:marker val="1"/>
        <c:smooth val="0"/>
        <c:axId val="626323312"/>
        <c:axId val="568903584"/>
      </c:lineChart>
      <c:catAx>
        <c:axId val="62632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68902336"/>
        <c:crosses val="autoZero"/>
        <c:auto val="1"/>
        <c:lblAlgn val="ctr"/>
        <c:lblOffset val="100"/>
        <c:noMultiLvlLbl val="0"/>
      </c:catAx>
      <c:valAx>
        <c:axId val="5689023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26322112"/>
        <c:crosses val="autoZero"/>
        <c:crossBetween val="between"/>
      </c:valAx>
      <c:valAx>
        <c:axId val="56890358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26323312"/>
        <c:crosses val="max"/>
        <c:crossBetween val="between"/>
      </c:valAx>
      <c:catAx>
        <c:axId val="626323312"/>
        <c:scaling>
          <c:orientation val="minMax"/>
        </c:scaling>
        <c:delete val="1"/>
        <c:axPos val="b"/>
        <c:numFmt formatCode="General" sourceLinked="1"/>
        <c:majorTickMark val="none"/>
        <c:minorTickMark val="none"/>
        <c:tickLblPos val="nextTo"/>
        <c:crossAx val="5689035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sz="1400" b="1">
                <a:solidFill>
                  <a:sysClr val="windowText" lastClr="000000"/>
                </a:solidFill>
              </a:rPr>
              <a:t>Median</a:t>
            </a:r>
            <a:r>
              <a:rPr lang="en-GB" sz="1400" b="1" baseline="0">
                <a:solidFill>
                  <a:sysClr val="windowText" lastClr="000000"/>
                </a:solidFill>
              </a:rPr>
              <a:t> Average Pay</a:t>
            </a:r>
            <a:endParaRPr lang="en-GB" sz="14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Charts!$G$10</c:f>
              <c:strCache>
                <c:ptCount val="1"/>
                <c:pt idx="0">
                  <c:v>Men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Charts!$H$9:$L$9</c:f>
              <c:numCache>
                <c:formatCode>General</c:formatCode>
                <c:ptCount val="5"/>
                <c:pt idx="0">
                  <c:v>2018</c:v>
                </c:pt>
                <c:pt idx="1">
                  <c:v>2019</c:v>
                </c:pt>
                <c:pt idx="2">
                  <c:v>2020</c:v>
                </c:pt>
                <c:pt idx="3">
                  <c:v>2021</c:v>
                </c:pt>
                <c:pt idx="4">
                  <c:v>2022</c:v>
                </c:pt>
              </c:numCache>
            </c:numRef>
          </c:cat>
          <c:val>
            <c:numRef>
              <c:f>Charts!$H$10:$L$10</c:f>
              <c:numCache>
                <c:formatCode>"£"#,##0.00</c:formatCode>
                <c:ptCount val="5"/>
                <c:pt idx="0">
                  <c:v>17.989999999999998</c:v>
                </c:pt>
                <c:pt idx="1">
                  <c:v>17.84</c:v>
                </c:pt>
                <c:pt idx="2">
                  <c:v>18.600000000000001</c:v>
                </c:pt>
                <c:pt idx="3">
                  <c:v>18.670000000000002</c:v>
                </c:pt>
                <c:pt idx="4">
                  <c:v>18.96</c:v>
                </c:pt>
              </c:numCache>
            </c:numRef>
          </c:val>
          <c:extLst>
            <c:ext xmlns:c16="http://schemas.microsoft.com/office/drawing/2014/chart" uri="{C3380CC4-5D6E-409C-BE32-E72D297353CC}">
              <c16:uniqueId val="{00000000-7C1A-4594-988E-E62F18D7EACD}"/>
            </c:ext>
          </c:extLst>
        </c:ser>
        <c:ser>
          <c:idx val="1"/>
          <c:order val="1"/>
          <c:tx>
            <c:strRef>
              <c:f>Charts!$G$11</c:f>
              <c:strCache>
                <c:ptCount val="1"/>
                <c:pt idx="0">
                  <c:v>Women</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numRef>
              <c:f>Charts!$H$9:$L$9</c:f>
              <c:numCache>
                <c:formatCode>General</c:formatCode>
                <c:ptCount val="5"/>
                <c:pt idx="0">
                  <c:v>2018</c:v>
                </c:pt>
                <c:pt idx="1">
                  <c:v>2019</c:v>
                </c:pt>
                <c:pt idx="2">
                  <c:v>2020</c:v>
                </c:pt>
                <c:pt idx="3">
                  <c:v>2021</c:v>
                </c:pt>
                <c:pt idx="4">
                  <c:v>2022</c:v>
                </c:pt>
              </c:numCache>
            </c:numRef>
          </c:cat>
          <c:val>
            <c:numRef>
              <c:f>Charts!$H$11:$L$11</c:f>
              <c:numCache>
                <c:formatCode>"£"#,##0.00</c:formatCode>
                <c:ptCount val="5"/>
                <c:pt idx="0">
                  <c:v>13.85</c:v>
                </c:pt>
                <c:pt idx="1">
                  <c:v>13.99</c:v>
                </c:pt>
                <c:pt idx="2">
                  <c:v>14.62</c:v>
                </c:pt>
                <c:pt idx="3">
                  <c:v>15.22</c:v>
                </c:pt>
                <c:pt idx="4">
                  <c:v>15.87</c:v>
                </c:pt>
              </c:numCache>
            </c:numRef>
          </c:val>
          <c:extLst>
            <c:ext xmlns:c16="http://schemas.microsoft.com/office/drawing/2014/chart" uri="{C3380CC4-5D6E-409C-BE32-E72D297353CC}">
              <c16:uniqueId val="{00000001-7C1A-4594-988E-E62F18D7EACD}"/>
            </c:ext>
          </c:extLst>
        </c:ser>
        <c:dLbls>
          <c:showLegendKey val="0"/>
          <c:showVal val="0"/>
          <c:showCatName val="0"/>
          <c:showSerName val="0"/>
          <c:showPercent val="0"/>
          <c:showBubbleSize val="0"/>
        </c:dLbls>
        <c:gapWidth val="219"/>
        <c:overlap val="-27"/>
        <c:axId val="801613600"/>
        <c:axId val="564240176"/>
      </c:barChart>
      <c:lineChart>
        <c:grouping val="standard"/>
        <c:varyColors val="0"/>
        <c:ser>
          <c:idx val="2"/>
          <c:order val="2"/>
          <c:tx>
            <c:strRef>
              <c:f>Charts!$G$12</c:f>
              <c:strCache>
                <c:ptCount val="1"/>
                <c:pt idx="0">
                  <c:v>% Difference</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dLbls>
            <c:dLbl>
              <c:idx val="0"/>
              <c:layout>
                <c:manualLayout>
                  <c:x val="-7.6067064892750474E-2"/>
                  <c:y val="-0.1143554006968641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95-448D-982A-C2558B0FF8D4}"/>
                </c:ext>
              </c:extLst>
            </c:dLbl>
            <c:dLbl>
              <c:idx val="1"/>
              <c:layout>
                <c:manualLayout>
                  <c:x val="-7.6067064892750516E-2"/>
                  <c:y val="-0.1143554006968641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95-448D-982A-C2558B0FF8D4}"/>
                </c:ext>
              </c:extLst>
            </c:dLbl>
            <c:dLbl>
              <c:idx val="2"/>
              <c:layout>
                <c:manualLayout>
                  <c:x val="-7.6067064892750558E-2"/>
                  <c:y val="-0.1422299651567944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95-448D-982A-C2558B0FF8D4}"/>
                </c:ext>
              </c:extLst>
            </c:dLbl>
            <c:dLbl>
              <c:idx val="3"/>
              <c:layout>
                <c:manualLayout>
                  <c:x val="-8.0377409720336759E-2"/>
                  <c:y val="-0.1910104529616724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195-448D-982A-C2558B0FF8D4}"/>
                </c:ext>
              </c:extLst>
            </c:dLbl>
            <c:dLbl>
              <c:idx val="4"/>
              <c:layout>
                <c:manualLayout>
                  <c:x val="-7.6067064892750474E-2"/>
                  <c:y val="-0.2049477351916376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195-448D-982A-C2558B0FF8D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Charts!$H$9:$L$9</c:f>
              <c:numCache>
                <c:formatCode>General</c:formatCode>
                <c:ptCount val="5"/>
                <c:pt idx="0">
                  <c:v>2018</c:v>
                </c:pt>
                <c:pt idx="1">
                  <c:v>2019</c:v>
                </c:pt>
                <c:pt idx="2">
                  <c:v>2020</c:v>
                </c:pt>
                <c:pt idx="3">
                  <c:v>2021</c:v>
                </c:pt>
                <c:pt idx="4">
                  <c:v>2022</c:v>
                </c:pt>
              </c:numCache>
            </c:numRef>
          </c:cat>
          <c:val>
            <c:numRef>
              <c:f>Charts!$H$12:$L$12</c:f>
              <c:numCache>
                <c:formatCode>0%</c:formatCode>
                <c:ptCount val="5"/>
                <c:pt idx="0">
                  <c:v>0.23</c:v>
                </c:pt>
                <c:pt idx="1">
                  <c:v>0.22</c:v>
                </c:pt>
                <c:pt idx="2">
                  <c:v>0.21</c:v>
                </c:pt>
                <c:pt idx="3">
                  <c:v>0.18</c:v>
                </c:pt>
                <c:pt idx="4">
                  <c:v>0.16289999999999999</c:v>
                </c:pt>
              </c:numCache>
            </c:numRef>
          </c:val>
          <c:smooth val="0"/>
          <c:extLst>
            <c:ext xmlns:c16="http://schemas.microsoft.com/office/drawing/2014/chart" uri="{C3380CC4-5D6E-409C-BE32-E72D297353CC}">
              <c16:uniqueId val="{00000002-7C1A-4594-988E-E62F18D7EACD}"/>
            </c:ext>
          </c:extLst>
        </c:ser>
        <c:dLbls>
          <c:showLegendKey val="0"/>
          <c:showVal val="0"/>
          <c:showCatName val="0"/>
          <c:showSerName val="0"/>
          <c:showPercent val="0"/>
          <c:showBubbleSize val="0"/>
        </c:dLbls>
        <c:marker val="1"/>
        <c:smooth val="0"/>
        <c:axId val="801614000"/>
        <c:axId val="564240592"/>
      </c:lineChart>
      <c:catAx>
        <c:axId val="80161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64240176"/>
        <c:crosses val="autoZero"/>
        <c:auto val="1"/>
        <c:lblAlgn val="ctr"/>
        <c:lblOffset val="100"/>
        <c:noMultiLvlLbl val="0"/>
      </c:catAx>
      <c:valAx>
        <c:axId val="5642401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1613600"/>
        <c:crosses val="autoZero"/>
        <c:crossBetween val="between"/>
      </c:valAx>
      <c:valAx>
        <c:axId val="56424059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1614000"/>
        <c:crosses val="max"/>
        <c:crossBetween val="between"/>
      </c:valAx>
      <c:catAx>
        <c:axId val="801614000"/>
        <c:scaling>
          <c:orientation val="minMax"/>
        </c:scaling>
        <c:delete val="1"/>
        <c:axPos val="b"/>
        <c:numFmt formatCode="General" sourceLinked="1"/>
        <c:majorTickMark val="none"/>
        <c:minorTickMark val="none"/>
        <c:tickLblPos val="nextTo"/>
        <c:crossAx val="56424059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ysClr val="windowText" lastClr="000000"/>
                </a:solidFill>
              </a:rPr>
              <a:t>Mean Bonus Pay</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5664564720433788"/>
          <c:y val="0.13440191387559811"/>
          <c:w val="0.75806915439917832"/>
          <c:h val="0.6393723392231474"/>
        </c:manualLayout>
      </c:layout>
      <c:barChart>
        <c:barDir val="col"/>
        <c:grouping val="clustered"/>
        <c:varyColors val="0"/>
        <c:ser>
          <c:idx val="0"/>
          <c:order val="0"/>
          <c:tx>
            <c:strRef>
              <c:f>Charts!$A$41</c:f>
              <c:strCache>
                <c:ptCount val="1"/>
                <c:pt idx="0">
                  <c:v>Men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Charts!$B$40:$F$40</c:f>
              <c:numCache>
                <c:formatCode>General</c:formatCode>
                <c:ptCount val="5"/>
                <c:pt idx="0">
                  <c:v>2018</c:v>
                </c:pt>
                <c:pt idx="1">
                  <c:v>2019</c:v>
                </c:pt>
                <c:pt idx="2">
                  <c:v>2020</c:v>
                </c:pt>
                <c:pt idx="3">
                  <c:v>2021</c:v>
                </c:pt>
                <c:pt idx="4">
                  <c:v>2022</c:v>
                </c:pt>
              </c:numCache>
            </c:numRef>
          </c:cat>
          <c:val>
            <c:numRef>
              <c:f>Charts!$B$41:$F$41</c:f>
              <c:numCache>
                <c:formatCode>"£"#,##0.00</c:formatCode>
                <c:ptCount val="5"/>
                <c:pt idx="0">
                  <c:v>13032.162826087</c:v>
                </c:pt>
                <c:pt idx="1">
                  <c:v>13196.7206818182</c:v>
                </c:pt>
                <c:pt idx="2">
                  <c:v>12016.2086666667</c:v>
                </c:pt>
                <c:pt idx="3">
                  <c:v>11521.7923255814</c:v>
                </c:pt>
                <c:pt idx="4" formatCode="_(&quot;£&quot;* #,##0.00_);_(&quot;£&quot;* \(#,##0.00\);_(&quot;£&quot;* &quot;-&quot;??_);_(@_)">
                  <c:v>8962.9444642857197</c:v>
                </c:pt>
              </c:numCache>
            </c:numRef>
          </c:val>
          <c:extLst>
            <c:ext xmlns:c16="http://schemas.microsoft.com/office/drawing/2014/chart" uri="{C3380CC4-5D6E-409C-BE32-E72D297353CC}">
              <c16:uniqueId val="{00000000-CF73-4F68-8749-B8A8166D4AA0}"/>
            </c:ext>
          </c:extLst>
        </c:ser>
        <c:ser>
          <c:idx val="1"/>
          <c:order val="1"/>
          <c:tx>
            <c:strRef>
              <c:f>Charts!$A$42</c:f>
              <c:strCache>
                <c:ptCount val="1"/>
                <c:pt idx="0">
                  <c:v>Women</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numRef>
              <c:f>Charts!$B$40:$F$40</c:f>
              <c:numCache>
                <c:formatCode>General</c:formatCode>
                <c:ptCount val="5"/>
                <c:pt idx="0">
                  <c:v>2018</c:v>
                </c:pt>
                <c:pt idx="1">
                  <c:v>2019</c:v>
                </c:pt>
                <c:pt idx="2">
                  <c:v>2020</c:v>
                </c:pt>
                <c:pt idx="3">
                  <c:v>2021</c:v>
                </c:pt>
                <c:pt idx="4">
                  <c:v>2022</c:v>
                </c:pt>
              </c:numCache>
            </c:numRef>
          </c:cat>
          <c:val>
            <c:numRef>
              <c:f>Charts!$B$42:$F$42</c:f>
              <c:numCache>
                <c:formatCode>"£"#,##0.00</c:formatCode>
                <c:ptCount val="5"/>
                <c:pt idx="0">
                  <c:v>9418.7543750000004</c:v>
                </c:pt>
                <c:pt idx="1">
                  <c:v>11038.614705882401</c:v>
                </c:pt>
                <c:pt idx="2">
                  <c:v>4247.9087755102</c:v>
                </c:pt>
                <c:pt idx="3">
                  <c:v>2600.9</c:v>
                </c:pt>
                <c:pt idx="4" formatCode="_(&quot;£&quot;* #,##0.00_);_(&quot;£&quot;* \(#,##0.00\);_(&quot;£&quot;* &quot;-&quot;??_);_(@_)">
                  <c:v>1423.7447368421099</c:v>
                </c:pt>
              </c:numCache>
            </c:numRef>
          </c:val>
          <c:extLst>
            <c:ext xmlns:c16="http://schemas.microsoft.com/office/drawing/2014/chart" uri="{C3380CC4-5D6E-409C-BE32-E72D297353CC}">
              <c16:uniqueId val="{00000001-CF73-4F68-8749-B8A8166D4AA0}"/>
            </c:ext>
          </c:extLst>
        </c:ser>
        <c:dLbls>
          <c:showLegendKey val="0"/>
          <c:showVal val="0"/>
          <c:showCatName val="0"/>
          <c:showSerName val="0"/>
          <c:showPercent val="0"/>
          <c:showBubbleSize val="0"/>
        </c:dLbls>
        <c:gapWidth val="219"/>
        <c:overlap val="-27"/>
        <c:axId val="624223952"/>
        <c:axId val="801698768"/>
      </c:barChart>
      <c:lineChart>
        <c:grouping val="standard"/>
        <c:varyColors val="0"/>
        <c:ser>
          <c:idx val="2"/>
          <c:order val="2"/>
          <c:tx>
            <c:strRef>
              <c:f>Charts!$A$43</c:f>
              <c:strCache>
                <c:ptCount val="1"/>
                <c:pt idx="0">
                  <c:v>% Difference</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Charts!$B$40:$F$40</c:f>
              <c:numCache>
                <c:formatCode>General</c:formatCode>
                <c:ptCount val="5"/>
                <c:pt idx="0">
                  <c:v>2018</c:v>
                </c:pt>
                <c:pt idx="1">
                  <c:v>2019</c:v>
                </c:pt>
                <c:pt idx="2">
                  <c:v>2020</c:v>
                </c:pt>
                <c:pt idx="3">
                  <c:v>2021</c:v>
                </c:pt>
                <c:pt idx="4">
                  <c:v>2022</c:v>
                </c:pt>
              </c:numCache>
            </c:numRef>
          </c:cat>
          <c:val>
            <c:numRef>
              <c:f>Charts!$B$43:$F$43</c:f>
              <c:numCache>
                <c:formatCode>0%</c:formatCode>
                <c:ptCount val="5"/>
                <c:pt idx="0">
                  <c:v>0.28000000000000003</c:v>
                </c:pt>
                <c:pt idx="1">
                  <c:v>0.16</c:v>
                </c:pt>
                <c:pt idx="2">
                  <c:v>0.65</c:v>
                </c:pt>
                <c:pt idx="3">
                  <c:v>0.77</c:v>
                </c:pt>
                <c:pt idx="4">
                  <c:v>0.84120000000000006</c:v>
                </c:pt>
              </c:numCache>
            </c:numRef>
          </c:val>
          <c:smooth val="0"/>
          <c:extLst>
            <c:ext xmlns:c16="http://schemas.microsoft.com/office/drawing/2014/chart" uri="{C3380CC4-5D6E-409C-BE32-E72D297353CC}">
              <c16:uniqueId val="{00000002-CF73-4F68-8749-B8A8166D4AA0}"/>
            </c:ext>
          </c:extLst>
        </c:ser>
        <c:dLbls>
          <c:showLegendKey val="0"/>
          <c:showVal val="0"/>
          <c:showCatName val="0"/>
          <c:showSerName val="0"/>
          <c:showPercent val="0"/>
          <c:showBubbleSize val="0"/>
        </c:dLbls>
        <c:marker val="1"/>
        <c:smooth val="0"/>
        <c:axId val="624223152"/>
        <c:axId val="801698352"/>
      </c:lineChart>
      <c:catAx>
        <c:axId val="62422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1698768"/>
        <c:crosses val="autoZero"/>
        <c:auto val="1"/>
        <c:lblAlgn val="ctr"/>
        <c:lblOffset val="100"/>
        <c:noMultiLvlLbl val="0"/>
      </c:catAx>
      <c:valAx>
        <c:axId val="8016987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24223952"/>
        <c:crosses val="autoZero"/>
        <c:crossBetween val="between"/>
      </c:valAx>
      <c:valAx>
        <c:axId val="80169835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24223152"/>
        <c:crosses val="max"/>
        <c:crossBetween val="between"/>
      </c:valAx>
      <c:catAx>
        <c:axId val="624223152"/>
        <c:scaling>
          <c:orientation val="minMax"/>
        </c:scaling>
        <c:delete val="1"/>
        <c:axPos val="b"/>
        <c:numFmt formatCode="General" sourceLinked="1"/>
        <c:majorTickMark val="none"/>
        <c:minorTickMark val="none"/>
        <c:tickLblPos val="nextTo"/>
        <c:crossAx val="80169835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ysClr val="windowText" lastClr="000000"/>
                </a:solidFill>
              </a:rPr>
              <a:t>Median Bonus Pay</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Charts!$G$41</c:f>
              <c:strCache>
                <c:ptCount val="1"/>
                <c:pt idx="0">
                  <c:v>Men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Charts!$H$40:$L$40</c:f>
              <c:numCache>
                <c:formatCode>General</c:formatCode>
                <c:ptCount val="5"/>
                <c:pt idx="0">
                  <c:v>2018</c:v>
                </c:pt>
                <c:pt idx="1">
                  <c:v>2019</c:v>
                </c:pt>
                <c:pt idx="2">
                  <c:v>2020</c:v>
                </c:pt>
                <c:pt idx="3">
                  <c:v>2021</c:v>
                </c:pt>
                <c:pt idx="4">
                  <c:v>2022</c:v>
                </c:pt>
              </c:numCache>
            </c:numRef>
          </c:cat>
          <c:val>
            <c:numRef>
              <c:f>Charts!$H$41:$L$41</c:f>
              <c:numCache>
                <c:formatCode>"£"#,##0.00</c:formatCode>
                <c:ptCount val="5"/>
                <c:pt idx="0">
                  <c:v>9417.4950000000008</c:v>
                </c:pt>
                <c:pt idx="1">
                  <c:v>10166.815000000001</c:v>
                </c:pt>
                <c:pt idx="2">
                  <c:v>9048</c:v>
                </c:pt>
                <c:pt idx="3">
                  <c:v>9048</c:v>
                </c:pt>
                <c:pt idx="4" formatCode="_(&quot;£&quot;* #,##0.00_);_(&quot;£&quot;* \(#,##0.00\);_(&quot;£&quot;* &quot;-&quot;??_);_(@_)">
                  <c:v>3015.97</c:v>
                </c:pt>
              </c:numCache>
            </c:numRef>
          </c:val>
          <c:extLst>
            <c:ext xmlns:c16="http://schemas.microsoft.com/office/drawing/2014/chart" uri="{C3380CC4-5D6E-409C-BE32-E72D297353CC}">
              <c16:uniqueId val="{00000000-C8B2-4E8B-9A45-19A0FF18095A}"/>
            </c:ext>
          </c:extLst>
        </c:ser>
        <c:ser>
          <c:idx val="1"/>
          <c:order val="1"/>
          <c:tx>
            <c:strRef>
              <c:f>Charts!$G$42</c:f>
              <c:strCache>
                <c:ptCount val="1"/>
                <c:pt idx="0">
                  <c:v>Women</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numRef>
              <c:f>Charts!$H$40:$L$40</c:f>
              <c:numCache>
                <c:formatCode>General</c:formatCode>
                <c:ptCount val="5"/>
                <c:pt idx="0">
                  <c:v>2018</c:v>
                </c:pt>
                <c:pt idx="1">
                  <c:v>2019</c:v>
                </c:pt>
                <c:pt idx="2">
                  <c:v>2020</c:v>
                </c:pt>
                <c:pt idx="3">
                  <c:v>2021</c:v>
                </c:pt>
                <c:pt idx="4">
                  <c:v>2022</c:v>
                </c:pt>
              </c:numCache>
            </c:numRef>
          </c:cat>
          <c:val>
            <c:numRef>
              <c:f>Charts!$H$42:$L$42</c:f>
              <c:numCache>
                <c:formatCode>"£"#,##0.00</c:formatCode>
                <c:ptCount val="5"/>
                <c:pt idx="0">
                  <c:v>7535.5150000000003</c:v>
                </c:pt>
                <c:pt idx="1">
                  <c:v>6660.33</c:v>
                </c:pt>
                <c:pt idx="2">
                  <c:v>200</c:v>
                </c:pt>
                <c:pt idx="3">
                  <c:v>200</c:v>
                </c:pt>
                <c:pt idx="4" formatCode="_(&quot;£&quot;* #,##0.00_);_(&quot;£&quot;* \(#,##0.00\);_(&quot;£&quot;* &quot;-&quot;??_);_(@_)">
                  <c:v>200</c:v>
                </c:pt>
              </c:numCache>
            </c:numRef>
          </c:val>
          <c:extLst>
            <c:ext xmlns:c16="http://schemas.microsoft.com/office/drawing/2014/chart" uri="{C3380CC4-5D6E-409C-BE32-E72D297353CC}">
              <c16:uniqueId val="{00000001-C8B2-4E8B-9A45-19A0FF18095A}"/>
            </c:ext>
          </c:extLst>
        </c:ser>
        <c:dLbls>
          <c:showLegendKey val="0"/>
          <c:showVal val="0"/>
          <c:showCatName val="0"/>
          <c:showSerName val="0"/>
          <c:showPercent val="0"/>
          <c:showBubbleSize val="0"/>
        </c:dLbls>
        <c:gapWidth val="219"/>
        <c:overlap val="-27"/>
        <c:axId val="573806768"/>
        <c:axId val="656706592"/>
      </c:barChart>
      <c:lineChart>
        <c:grouping val="standard"/>
        <c:varyColors val="0"/>
        <c:ser>
          <c:idx val="2"/>
          <c:order val="2"/>
          <c:tx>
            <c:strRef>
              <c:f>Charts!$G$43</c:f>
              <c:strCache>
                <c:ptCount val="1"/>
                <c:pt idx="0">
                  <c:v>% Difference</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Charts!$H$40:$L$40</c:f>
              <c:numCache>
                <c:formatCode>General</c:formatCode>
                <c:ptCount val="5"/>
                <c:pt idx="0">
                  <c:v>2018</c:v>
                </c:pt>
                <c:pt idx="1">
                  <c:v>2019</c:v>
                </c:pt>
                <c:pt idx="2">
                  <c:v>2020</c:v>
                </c:pt>
                <c:pt idx="3">
                  <c:v>2021</c:v>
                </c:pt>
                <c:pt idx="4">
                  <c:v>2022</c:v>
                </c:pt>
              </c:numCache>
            </c:numRef>
          </c:cat>
          <c:val>
            <c:numRef>
              <c:f>Charts!$H$43:$L$43</c:f>
              <c:numCache>
                <c:formatCode>0%</c:formatCode>
                <c:ptCount val="5"/>
                <c:pt idx="0">
                  <c:v>0.2</c:v>
                </c:pt>
                <c:pt idx="1">
                  <c:v>0.34</c:v>
                </c:pt>
                <c:pt idx="2">
                  <c:v>0.98</c:v>
                </c:pt>
                <c:pt idx="3">
                  <c:v>0.98</c:v>
                </c:pt>
                <c:pt idx="4">
                  <c:v>0.93370000000000009</c:v>
                </c:pt>
              </c:numCache>
            </c:numRef>
          </c:val>
          <c:smooth val="0"/>
          <c:extLst>
            <c:ext xmlns:c16="http://schemas.microsoft.com/office/drawing/2014/chart" uri="{C3380CC4-5D6E-409C-BE32-E72D297353CC}">
              <c16:uniqueId val="{00000002-C8B2-4E8B-9A45-19A0FF18095A}"/>
            </c:ext>
          </c:extLst>
        </c:ser>
        <c:dLbls>
          <c:showLegendKey val="0"/>
          <c:showVal val="0"/>
          <c:showCatName val="0"/>
          <c:showSerName val="0"/>
          <c:showPercent val="0"/>
          <c:showBubbleSize val="0"/>
        </c:dLbls>
        <c:marker val="1"/>
        <c:smooth val="0"/>
        <c:axId val="573811568"/>
        <c:axId val="656710336"/>
      </c:lineChart>
      <c:catAx>
        <c:axId val="57380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56706592"/>
        <c:crosses val="autoZero"/>
        <c:auto val="1"/>
        <c:lblAlgn val="ctr"/>
        <c:lblOffset val="100"/>
        <c:noMultiLvlLbl val="0"/>
      </c:catAx>
      <c:valAx>
        <c:axId val="656706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3806768"/>
        <c:crosses val="autoZero"/>
        <c:crossBetween val="between"/>
      </c:valAx>
      <c:valAx>
        <c:axId val="65671033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3811568"/>
        <c:crosses val="max"/>
        <c:crossBetween val="between"/>
      </c:valAx>
      <c:catAx>
        <c:axId val="573811568"/>
        <c:scaling>
          <c:orientation val="minMax"/>
        </c:scaling>
        <c:delete val="1"/>
        <c:axPos val="b"/>
        <c:numFmt formatCode="General" sourceLinked="1"/>
        <c:majorTickMark val="none"/>
        <c:minorTickMark val="none"/>
        <c:tickLblPos val="nextTo"/>
        <c:crossAx val="6567103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ysClr val="windowText" lastClr="000000"/>
                </a:solidFill>
              </a:rPr>
              <a:t>Total</a:t>
            </a:r>
            <a:r>
              <a:rPr lang="en-GB" b="1" baseline="0">
                <a:solidFill>
                  <a:sysClr val="windowText" lastClr="000000"/>
                </a:solidFill>
              </a:rPr>
              <a:t> Employees Paid Bonus</a:t>
            </a:r>
            <a:endParaRPr lang="en-GB"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Charts!$Q$41</c:f>
              <c:strCache>
                <c:ptCount val="1"/>
                <c:pt idx="0">
                  <c:v>Male</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Charts!$R$40:$V$40</c:f>
              <c:numCache>
                <c:formatCode>General</c:formatCode>
                <c:ptCount val="5"/>
                <c:pt idx="0">
                  <c:v>2018</c:v>
                </c:pt>
                <c:pt idx="1">
                  <c:v>2019</c:v>
                </c:pt>
                <c:pt idx="2">
                  <c:v>2020</c:v>
                </c:pt>
                <c:pt idx="3">
                  <c:v>2021</c:v>
                </c:pt>
                <c:pt idx="4">
                  <c:v>2022</c:v>
                </c:pt>
              </c:numCache>
            </c:numRef>
          </c:cat>
          <c:val>
            <c:numRef>
              <c:f>Charts!$R$41:$V$41</c:f>
              <c:numCache>
                <c:formatCode>0.00</c:formatCode>
                <c:ptCount val="5"/>
                <c:pt idx="0">
                  <c:v>46</c:v>
                </c:pt>
                <c:pt idx="1">
                  <c:v>44</c:v>
                </c:pt>
                <c:pt idx="2">
                  <c:v>45</c:v>
                </c:pt>
                <c:pt idx="3">
                  <c:v>43</c:v>
                </c:pt>
                <c:pt idx="4" formatCode="General">
                  <c:v>56</c:v>
                </c:pt>
              </c:numCache>
            </c:numRef>
          </c:val>
          <c:extLst>
            <c:ext xmlns:c16="http://schemas.microsoft.com/office/drawing/2014/chart" uri="{C3380CC4-5D6E-409C-BE32-E72D297353CC}">
              <c16:uniqueId val="{00000000-DCBD-4E3F-841E-A8A2CAA1B805}"/>
            </c:ext>
          </c:extLst>
        </c:ser>
        <c:ser>
          <c:idx val="1"/>
          <c:order val="1"/>
          <c:tx>
            <c:strRef>
              <c:f>Charts!$Q$42</c:f>
              <c:strCache>
                <c:ptCount val="1"/>
                <c:pt idx="0">
                  <c:v>Female</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numRef>
              <c:f>Charts!$R$40:$V$40</c:f>
              <c:numCache>
                <c:formatCode>General</c:formatCode>
                <c:ptCount val="5"/>
                <c:pt idx="0">
                  <c:v>2018</c:v>
                </c:pt>
                <c:pt idx="1">
                  <c:v>2019</c:v>
                </c:pt>
                <c:pt idx="2">
                  <c:v>2020</c:v>
                </c:pt>
                <c:pt idx="3">
                  <c:v>2021</c:v>
                </c:pt>
                <c:pt idx="4">
                  <c:v>2022</c:v>
                </c:pt>
              </c:numCache>
            </c:numRef>
          </c:cat>
          <c:val>
            <c:numRef>
              <c:f>Charts!$R$42:$V$42</c:f>
              <c:numCache>
                <c:formatCode>0.00</c:formatCode>
                <c:ptCount val="5"/>
                <c:pt idx="0">
                  <c:v>16</c:v>
                </c:pt>
                <c:pt idx="1">
                  <c:v>17</c:v>
                </c:pt>
                <c:pt idx="2">
                  <c:v>49</c:v>
                </c:pt>
                <c:pt idx="3">
                  <c:v>68</c:v>
                </c:pt>
                <c:pt idx="4">
                  <c:v>133</c:v>
                </c:pt>
              </c:numCache>
            </c:numRef>
          </c:val>
          <c:extLst>
            <c:ext xmlns:c16="http://schemas.microsoft.com/office/drawing/2014/chart" uri="{C3380CC4-5D6E-409C-BE32-E72D297353CC}">
              <c16:uniqueId val="{00000001-DCBD-4E3F-841E-A8A2CAA1B805}"/>
            </c:ext>
          </c:extLst>
        </c:ser>
        <c:dLbls>
          <c:showLegendKey val="0"/>
          <c:showVal val="0"/>
          <c:showCatName val="0"/>
          <c:showSerName val="0"/>
          <c:showPercent val="0"/>
          <c:showBubbleSize val="0"/>
        </c:dLbls>
        <c:gapWidth val="100"/>
        <c:overlap val="-24"/>
        <c:axId val="573822768"/>
        <c:axId val="573978944"/>
      </c:barChart>
      <c:catAx>
        <c:axId val="57382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3978944"/>
        <c:crossesAt val="0"/>
        <c:auto val="1"/>
        <c:lblAlgn val="ctr"/>
        <c:lblOffset val="100"/>
        <c:noMultiLvlLbl val="0"/>
      </c:catAx>
      <c:valAx>
        <c:axId val="57397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3822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38241658758857"/>
          <c:y val="5.0984936268829661E-2"/>
          <c:w val="0.73412770598633637"/>
          <c:h val="0.73546518736142918"/>
        </c:manualLayout>
      </c:layout>
      <c:barChart>
        <c:barDir val="bar"/>
        <c:grouping val="stacked"/>
        <c:varyColors val="0"/>
        <c:ser>
          <c:idx val="0"/>
          <c:order val="0"/>
          <c:tx>
            <c:strRef>
              <c:f>Charts!$C$81</c:f>
              <c:strCache>
                <c:ptCount val="1"/>
                <c:pt idx="0">
                  <c:v>Female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Charts!$B$82:$B$85</c:f>
              <c:strCache>
                <c:ptCount val="4"/>
                <c:pt idx="0">
                  <c:v>Upper quartile</c:v>
                </c:pt>
                <c:pt idx="1">
                  <c:v>Upper middle quartile</c:v>
                </c:pt>
                <c:pt idx="2">
                  <c:v>Lower middle quartile</c:v>
                </c:pt>
                <c:pt idx="3">
                  <c:v>Lower quartile</c:v>
                </c:pt>
              </c:strCache>
            </c:strRef>
          </c:cat>
          <c:val>
            <c:numRef>
              <c:f>Charts!$C$82:$C$85</c:f>
              <c:numCache>
                <c:formatCode>0</c:formatCode>
                <c:ptCount val="4"/>
                <c:pt idx="0">
                  <c:v>62.7173913043478</c:v>
                </c:pt>
                <c:pt idx="1">
                  <c:v>82.589771490750806</c:v>
                </c:pt>
                <c:pt idx="2">
                  <c:v>81.118143459915601</c:v>
                </c:pt>
                <c:pt idx="3">
                  <c:v>80.920314253647604</c:v>
                </c:pt>
              </c:numCache>
            </c:numRef>
          </c:val>
          <c:extLst>
            <c:ext xmlns:c16="http://schemas.microsoft.com/office/drawing/2014/chart" uri="{C3380CC4-5D6E-409C-BE32-E72D297353CC}">
              <c16:uniqueId val="{00000000-ADAB-4036-AD62-6FD348E9B41A}"/>
            </c:ext>
          </c:extLst>
        </c:ser>
        <c:ser>
          <c:idx val="1"/>
          <c:order val="1"/>
          <c:tx>
            <c:strRef>
              <c:f>Charts!$D$81</c:f>
              <c:strCache>
                <c:ptCount val="1"/>
                <c:pt idx="0">
                  <c:v>Male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Charts!$B$82:$B$85</c:f>
              <c:strCache>
                <c:ptCount val="4"/>
                <c:pt idx="0">
                  <c:v>Upper quartile</c:v>
                </c:pt>
                <c:pt idx="1">
                  <c:v>Upper middle quartile</c:v>
                </c:pt>
                <c:pt idx="2">
                  <c:v>Lower middle quartile</c:v>
                </c:pt>
                <c:pt idx="3">
                  <c:v>Lower quartile</c:v>
                </c:pt>
              </c:strCache>
            </c:strRef>
          </c:cat>
          <c:val>
            <c:numRef>
              <c:f>Charts!$D$82:$D$85</c:f>
              <c:numCache>
                <c:formatCode>0</c:formatCode>
                <c:ptCount val="4"/>
                <c:pt idx="0">
                  <c:v>37.2826086956522</c:v>
                </c:pt>
                <c:pt idx="1">
                  <c:v>17.410228509249201</c:v>
                </c:pt>
                <c:pt idx="2">
                  <c:v>18.881856540084399</c:v>
                </c:pt>
                <c:pt idx="3">
                  <c:v>19.0796857463524</c:v>
                </c:pt>
              </c:numCache>
            </c:numRef>
          </c:val>
          <c:extLst>
            <c:ext xmlns:c16="http://schemas.microsoft.com/office/drawing/2014/chart" uri="{C3380CC4-5D6E-409C-BE32-E72D297353CC}">
              <c16:uniqueId val="{00000001-ADAB-4036-AD62-6FD348E9B41A}"/>
            </c:ext>
          </c:extLst>
        </c:ser>
        <c:dLbls>
          <c:showLegendKey val="0"/>
          <c:showVal val="0"/>
          <c:showCatName val="0"/>
          <c:showSerName val="0"/>
          <c:showPercent val="0"/>
          <c:showBubbleSize val="0"/>
        </c:dLbls>
        <c:gapWidth val="150"/>
        <c:overlap val="100"/>
        <c:axId val="1710662751"/>
        <c:axId val="1704887567"/>
      </c:barChart>
      <c:catAx>
        <c:axId val="1710662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04887567"/>
        <c:crosses val="autoZero"/>
        <c:auto val="1"/>
        <c:lblAlgn val="ctr"/>
        <c:lblOffset val="100"/>
        <c:noMultiLvlLbl val="0"/>
      </c:catAx>
      <c:valAx>
        <c:axId val="1704887567"/>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106627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24B7A-55A0-4799-B7FB-8A6B70BB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Princess Alexandra Hospital</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 Fiona (RQW) Pr Alexandra Hosp Tr</dc:creator>
  <cp:lastModifiedBy>Warwick Rebecca (RQW) Pr Alexandra Hosp Tr</cp:lastModifiedBy>
  <cp:revision>3</cp:revision>
  <cp:lastPrinted>2017-06-12T10:02:00Z</cp:lastPrinted>
  <dcterms:created xsi:type="dcterms:W3CDTF">2023-01-18T16:29:00Z</dcterms:created>
  <dcterms:modified xsi:type="dcterms:W3CDTF">2023-03-21T11:05:00Z</dcterms:modified>
</cp:coreProperties>
</file>