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56"/>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1376"/>
        <w:gridCol w:w="412"/>
        <w:gridCol w:w="1101"/>
        <w:gridCol w:w="275"/>
        <w:gridCol w:w="412"/>
        <w:gridCol w:w="1037"/>
        <w:gridCol w:w="524"/>
        <w:gridCol w:w="300"/>
        <w:gridCol w:w="481"/>
        <w:gridCol w:w="1033"/>
        <w:gridCol w:w="728"/>
      </w:tblGrid>
      <w:tr w:rsidR="00541DE7" w:rsidRPr="00EB38B7" w14:paraId="7BBBADC1" w14:textId="77777777" w:rsidTr="00587EE5">
        <w:trPr>
          <w:cantSplit/>
          <w:trHeight w:val="3003"/>
        </w:trPr>
        <w:tc>
          <w:tcPr>
            <w:tcW w:w="2930" w:type="dxa"/>
            <w:tcBorders>
              <w:top w:val="single" w:sz="4" w:space="0" w:color="auto"/>
              <w:left w:val="single" w:sz="4" w:space="0" w:color="auto"/>
              <w:bottom w:val="single" w:sz="4" w:space="0" w:color="auto"/>
              <w:right w:val="single" w:sz="4" w:space="0" w:color="auto"/>
            </w:tcBorders>
          </w:tcPr>
          <w:p w14:paraId="17EBFD57" w14:textId="77777777" w:rsidR="00541DE7" w:rsidRPr="00205904" w:rsidRDefault="00541DE7" w:rsidP="004B3D3B">
            <w:pPr>
              <w:spacing w:after="0" w:line="240" w:lineRule="auto"/>
              <w:rPr>
                <w:rFonts w:ascii="Arial" w:eastAsia="Times New Roman" w:hAnsi="Arial" w:cs="Arial"/>
                <w:b/>
                <w:bCs/>
                <w:lang w:eastAsia="en-GB"/>
              </w:rPr>
            </w:pPr>
          </w:p>
          <w:p w14:paraId="5362A209"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Agenda item:</w:t>
            </w:r>
          </w:p>
          <w:p w14:paraId="09EF0C4A"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2B71E44"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Presented by:</w:t>
            </w:r>
          </w:p>
          <w:p w14:paraId="3610F710"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43E2EAE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Prepared by:</w:t>
            </w:r>
          </w:p>
          <w:p w14:paraId="735B057F"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05EEC7F6" w14:textId="2E1575F1"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Date prepared:</w:t>
            </w:r>
          </w:p>
          <w:p w14:paraId="3479CE5B"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FEE566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Subject / title:</w:t>
            </w:r>
          </w:p>
          <w:p w14:paraId="35762D26" w14:textId="77777777" w:rsidR="00541DE7" w:rsidRPr="00205904" w:rsidRDefault="00541DE7" w:rsidP="004B3D3B">
            <w:pPr>
              <w:spacing w:after="0" w:line="240" w:lineRule="auto"/>
              <w:rPr>
                <w:rFonts w:ascii="Arial" w:eastAsia="Times New Roman" w:hAnsi="Arial" w:cs="Arial"/>
                <w:b/>
                <w:bCs/>
                <w:lang w:eastAsia="en-GB"/>
              </w:rPr>
            </w:pPr>
            <w:r w:rsidRPr="00205904">
              <w:rPr>
                <w:rFonts w:ascii="Arial" w:eastAsia="Times New Roman" w:hAnsi="Arial" w:cs="Arial"/>
                <w:b/>
                <w:bCs/>
                <w:lang w:eastAsia="en-GB"/>
              </w:rPr>
              <w:t xml:space="preserve"> </w:t>
            </w:r>
          </w:p>
        </w:tc>
        <w:tc>
          <w:tcPr>
            <w:tcW w:w="7679" w:type="dxa"/>
            <w:gridSpan w:val="11"/>
            <w:tcBorders>
              <w:top w:val="single" w:sz="4" w:space="0" w:color="auto"/>
              <w:left w:val="single" w:sz="4" w:space="0" w:color="auto"/>
              <w:bottom w:val="single" w:sz="4" w:space="0" w:color="auto"/>
              <w:right w:val="single" w:sz="4" w:space="0" w:color="auto"/>
            </w:tcBorders>
            <w:hideMark/>
          </w:tcPr>
          <w:p w14:paraId="11AEE253" w14:textId="77777777" w:rsidR="00541DE7" w:rsidRPr="00590685" w:rsidRDefault="00541DE7" w:rsidP="004B3D3B">
            <w:pPr>
              <w:spacing w:after="0" w:line="240" w:lineRule="auto"/>
              <w:rPr>
                <w:rFonts w:ascii="Arial" w:eastAsia="Times New Roman" w:hAnsi="Arial" w:cs="Arial"/>
                <w:bCs/>
                <w:lang w:eastAsia="en-GB"/>
              </w:rPr>
            </w:pPr>
          </w:p>
          <w:p w14:paraId="4C8810D0" w14:textId="77777777" w:rsidR="00541DE7" w:rsidRDefault="00541DE7" w:rsidP="004B3D3B">
            <w:pPr>
              <w:spacing w:after="0" w:line="240" w:lineRule="auto"/>
              <w:rPr>
                <w:rFonts w:ascii="Arial" w:eastAsia="Times New Roman" w:hAnsi="Arial" w:cs="Arial"/>
                <w:bCs/>
                <w:lang w:eastAsia="en-GB"/>
              </w:rPr>
            </w:pPr>
          </w:p>
          <w:p w14:paraId="6B1232F8" w14:textId="77777777" w:rsidR="00587EE5" w:rsidRPr="00590685" w:rsidRDefault="00587EE5" w:rsidP="004B3D3B">
            <w:pPr>
              <w:spacing w:after="0" w:line="240" w:lineRule="auto"/>
              <w:rPr>
                <w:rFonts w:ascii="Arial" w:eastAsia="Times New Roman" w:hAnsi="Arial" w:cs="Arial"/>
                <w:bCs/>
                <w:lang w:eastAsia="en-GB"/>
              </w:rPr>
            </w:pPr>
          </w:p>
          <w:p w14:paraId="1AF9E4B1" w14:textId="0ADA19E1" w:rsidR="00541DE7" w:rsidRPr="00590685" w:rsidRDefault="00E16D7D" w:rsidP="004B3D3B">
            <w:pPr>
              <w:spacing w:after="0" w:line="240" w:lineRule="auto"/>
              <w:rPr>
                <w:rFonts w:ascii="Arial" w:eastAsia="Times New Roman" w:hAnsi="Arial" w:cs="Arial"/>
                <w:bCs/>
                <w:lang w:eastAsia="en-GB"/>
              </w:rPr>
            </w:pPr>
            <w:r>
              <w:rPr>
                <w:rFonts w:ascii="Arial" w:eastAsia="Times New Roman" w:hAnsi="Arial" w:cs="Arial"/>
                <w:bCs/>
                <w:lang w:eastAsia="en-GB"/>
              </w:rPr>
              <w:t>Jo Ward - Interim</w:t>
            </w:r>
            <w:r w:rsidR="00541DE7" w:rsidRPr="00590685">
              <w:rPr>
                <w:rFonts w:ascii="Arial" w:eastAsia="Times New Roman" w:hAnsi="Arial" w:cs="Arial"/>
                <w:bCs/>
                <w:lang w:eastAsia="en-GB"/>
              </w:rPr>
              <w:t xml:space="preserve"> Chief Nurse</w:t>
            </w:r>
          </w:p>
          <w:p w14:paraId="7FC707B4" w14:textId="77777777" w:rsidR="00541DE7" w:rsidRPr="00590685" w:rsidRDefault="00541DE7" w:rsidP="004B3D3B">
            <w:pPr>
              <w:spacing w:after="0" w:line="240" w:lineRule="auto"/>
              <w:rPr>
                <w:rFonts w:ascii="Arial" w:eastAsia="Times New Roman" w:hAnsi="Arial" w:cs="Arial"/>
                <w:bCs/>
                <w:lang w:eastAsia="en-GB"/>
              </w:rPr>
            </w:pPr>
          </w:p>
          <w:p w14:paraId="117F8772" w14:textId="2D821D8F" w:rsidR="00541DE7" w:rsidRDefault="000672FA" w:rsidP="004B3D3B">
            <w:pPr>
              <w:spacing w:after="0" w:line="240" w:lineRule="auto"/>
              <w:rPr>
                <w:rFonts w:ascii="Arial" w:hAnsi="Arial" w:cs="Arial"/>
              </w:rPr>
            </w:pPr>
            <w:r w:rsidRPr="00590685">
              <w:rPr>
                <w:rFonts w:ascii="Arial" w:hAnsi="Arial" w:cs="Arial"/>
              </w:rPr>
              <w:t>Charlotte Collings</w:t>
            </w:r>
            <w:r w:rsidR="00466004">
              <w:rPr>
                <w:rFonts w:ascii="Arial" w:hAnsi="Arial" w:cs="Arial"/>
              </w:rPr>
              <w:t xml:space="preserve"> – </w:t>
            </w:r>
            <w:r w:rsidRPr="00590685">
              <w:rPr>
                <w:rFonts w:ascii="Arial" w:hAnsi="Arial" w:cs="Arial"/>
              </w:rPr>
              <w:t xml:space="preserve">Lead Nurse for </w:t>
            </w:r>
            <w:r w:rsidR="0016272C">
              <w:rPr>
                <w:rFonts w:ascii="Arial" w:hAnsi="Arial" w:cs="Arial"/>
              </w:rPr>
              <w:t xml:space="preserve">Safe </w:t>
            </w:r>
            <w:r w:rsidRPr="00590685">
              <w:rPr>
                <w:rFonts w:ascii="Arial" w:hAnsi="Arial" w:cs="Arial"/>
              </w:rPr>
              <w:t>Staffing and Workforce</w:t>
            </w:r>
            <w:r w:rsidR="00541DE7" w:rsidRPr="00590685">
              <w:rPr>
                <w:rFonts w:ascii="Arial" w:hAnsi="Arial" w:cs="Arial"/>
              </w:rPr>
              <w:t xml:space="preserve"> </w:t>
            </w:r>
          </w:p>
          <w:p w14:paraId="0F140C46" w14:textId="3B8D12C2" w:rsidR="00E16D7D" w:rsidRPr="00590685" w:rsidRDefault="00E16D7D" w:rsidP="004B3D3B">
            <w:pPr>
              <w:spacing w:after="0" w:line="240" w:lineRule="auto"/>
              <w:rPr>
                <w:rFonts w:ascii="Arial" w:hAnsi="Arial" w:cs="Arial"/>
              </w:rPr>
            </w:pPr>
            <w:r>
              <w:rPr>
                <w:rFonts w:ascii="Arial" w:hAnsi="Arial" w:cs="Arial"/>
              </w:rPr>
              <w:t>Polly Read – Interim Deputy Chief Nurse</w:t>
            </w:r>
          </w:p>
          <w:p w14:paraId="647BC80D" w14:textId="77777777" w:rsidR="000672FA" w:rsidRPr="00590685" w:rsidRDefault="000672FA" w:rsidP="004B3D3B">
            <w:pPr>
              <w:spacing w:after="0" w:line="240" w:lineRule="auto"/>
              <w:rPr>
                <w:rFonts w:ascii="Arial" w:hAnsi="Arial" w:cs="Arial"/>
              </w:rPr>
            </w:pPr>
          </w:p>
          <w:p w14:paraId="2223E42B" w14:textId="0D252B13" w:rsidR="003325F2" w:rsidRPr="003A3F4D" w:rsidRDefault="003A3F4D" w:rsidP="004B3D3B">
            <w:pPr>
              <w:spacing w:after="0" w:line="240" w:lineRule="auto"/>
              <w:rPr>
                <w:rFonts w:ascii="Arial" w:eastAsia="Times New Roman" w:hAnsi="Arial" w:cs="Arial"/>
                <w:bCs/>
                <w:lang w:eastAsia="en-GB"/>
              </w:rPr>
            </w:pPr>
            <w:r w:rsidRPr="003A3F4D">
              <w:rPr>
                <w:rFonts w:ascii="Arial" w:eastAsia="Times New Roman" w:hAnsi="Arial" w:cs="Arial"/>
                <w:bCs/>
                <w:lang w:eastAsia="en-GB"/>
              </w:rPr>
              <w:t>1</w:t>
            </w:r>
            <w:r w:rsidR="00F9753B">
              <w:rPr>
                <w:rFonts w:ascii="Arial" w:eastAsia="Times New Roman" w:hAnsi="Arial" w:cs="Arial"/>
                <w:bCs/>
                <w:lang w:eastAsia="en-GB"/>
              </w:rPr>
              <w:t>9</w:t>
            </w:r>
            <w:r w:rsidRPr="003A3F4D">
              <w:rPr>
                <w:rFonts w:ascii="Arial" w:eastAsia="Times New Roman" w:hAnsi="Arial" w:cs="Arial"/>
                <w:bCs/>
                <w:lang w:eastAsia="en-GB"/>
              </w:rPr>
              <w:t xml:space="preserve"> December 2025</w:t>
            </w:r>
          </w:p>
          <w:p w14:paraId="3230778E" w14:textId="77777777" w:rsidR="00772E77" w:rsidRPr="00590685" w:rsidRDefault="00772E77" w:rsidP="004B3D3B">
            <w:pPr>
              <w:spacing w:after="0" w:line="240" w:lineRule="auto"/>
              <w:rPr>
                <w:rFonts w:ascii="Arial" w:eastAsia="Times New Roman" w:hAnsi="Arial" w:cs="Arial"/>
                <w:bCs/>
                <w:lang w:eastAsia="en-GB"/>
              </w:rPr>
            </w:pPr>
          </w:p>
          <w:p w14:paraId="32EAFB69" w14:textId="5D1912E6" w:rsidR="00541DE7" w:rsidRPr="00590685" w:rsidRDefault="00E16D7D" w:rsidP="00E16D7D">
            <w:pPr>
              <w:spacing w:after="0" w:line="240" w:lineRule="auto"/>
              <w:rPr>
                <w:rFonts w:ascii="Arial" w:eastAsia="Times New Roman" w:hAnsi="Arial" w:cs="Arial"/>
                <w:bCs/>
                <w:lang w:eastAsia="en-GB"/>
              </w:rPr>
            </w:pPr>
            <w:r>
              <w:rPr>
                <w:rFonts w:ascii="Arial" w:eastAsia="Times New Roman" w:hAnsi="Arial" w:cs="Arial"/>
                <w:bCs/>
                <w:lang w:eastAsia="en-GB"/>
              </w:rPr>
              <w:t>Safe Staffing Monthly report – November 2025</w:t>
            </w:r>
          </w:p>
        </w:tc>
      </w:tr>
      <w:tr w:rsidR="00541DE7" w:rsidRPr="00EB38B7" w14:paraId="2EB4BEC7" w14:textId="77777777" w:rsidTr="00587EE5">
        <w:trPr>
          <w:cantSplit/>
          <w:trHeight w:val="292"/>
        </w:trPr>
        <w:tc>
          <w:tcPr>
            <w:tcW w:w="2930" w:type="dxa"/>
            <w:tcBorders>
              <w:top w:val="single" w:sz="4" w:space="0" w:color="auto"/>
              <w:left w:val="single" w:sz="4" w:space="0" w:color="auto"/>
              <w:bottom w:val="single" w:sz="4" w:space="0" w:color="auto"/>
              <w:right w:val="single" w:sz="4" w:space="0" w:color="auto"/>
            </w:tcBorders>
          </w:tcPr>
          <w:p w14:paraId="6A05B14F" w14:textId="77777777" w:rsidR="00541DE7" w:rsidRPr="00E9073B" w:rsidRDefault="00541DE7" w:rsidP="004B3D3B">
            <w:pPr>
              <w:spacing w:after="0" w:line="240" w:lineRule="auto"/>
              <w:rPr>
                <w:rFonts w:ascii="Arial" w:eastAsia="Times New Roman" w:hAnsi="Arial" w:cs="Arial"/>
                <w:b/>
                <w:bCs/>
                <w:sz w:val="24"/>
                <w:szCs w:val="24"/>
                <w:lang w:eastAsia="en-GB"/>
              </w:rPr>
            </w:pPr>
            <w:r w:rsidRPr="00E9073B">
              <w:rPr>
                <w:rFonts w:ascii="Arial" w:eastAsia="Times New Roman" w:hAnsi="Arial" w:cs="Arial"/>
                <w:b/>
                <w:bCs/>
                <w:color w:val="005EB8"/>
                <w:sz w:val="24"/>
                <w:szCs w:val="24"/>
                <w:lang w:eastAsia="en-GB"/>
              </w:rPr>
              <w:t>Purpose:</w:t>
            </w:r>
          </w:p>
        </w:tc>
        <w:tc>
          <w:tcPr>
            <w:tcW w:w="1376" w:type="dxa"/>
            <w:tcBorders>
              <w:top w:val="single" w:sz="4" w:space="0" w:color="auto"/>
              <w:left w:val="single" w:sz="4" w:space="0" w:color="auto"/>
              <w:bottom w:val="single" w:sz="4" w:space="0" w:color="auto"/>
              <w:right w:val="single" w:sz="4" w:space="0" w:color="auto"/>
            </w:tcBorders>
          </w:tcPr>
          <w:p w14:paraId="777008A0"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Approval</w:t>
            </w:r>
          </w:p>
        </w:tc>
        <w:tc>
          <w:tcPr>
            <w:tcW w:w="412" w:type="dxa"/>
            <w:tcBorders>
              <w:top w:val="single" w:sz="4" w:space="0" w:color="auto"/>
              <w:left w:val="single" w:sz="4" w:space="0" w:color="auto"/>
              <w:bottom w:val="single" w:sz="4" w:space="0" w:color="auto"/>
              <w:right w:val="single" w:sz="4" w:space="0" w:color="auto"/>
            </w:tcBorders>
          </w:tcPr>
          <w:p w14:paraId="2007D5AB"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376" w:type="dxa"/>
            <w:gridSpan w:val="2"/>
            <w:tcBorders>
              <w:top w:val="single" w:sz="4" w:space="0" w:color="auto"/>
              <w:left w:val="single" w:sz="4" w:space="0" w:color="auto"/>
              <w:bottom w:val="single" w:sz="4" w:space="0" w:color="auto"/>
              <w:right w:val="single" w:sz="4" w:space="0" w:color="auto"/>
            </w:tcBorders>
          </w:tcPr>
          <w:p w14:paraId="679CB83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Decision</w:t>
            </w:r>
          </w:p>
        </w:tc>
        <w:tc>
          <w:tcPr>
            <w:tcW w:w="412" w:type="dxa"/>
            <w:tcBorders>
              <w:top w:val="single" w:sz="4" w:space="0" w:color="auto"/>
              <w:left w:val="single" w:sz="4" w:space="0" w:color="auto"/>
              <w:bottom w:val="single" w:sz="4" w:space="0" w:color="auto"/>
              <w:right w:val="single" w:sz="4" w:space="0" w:color="auto"/>
            </w:tcBorders>
          </w:tcPr>
          <w:p w14:paraId="02531D0D"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561" w:type="dxa"/>
            <w:gridSpan w:val="2"/>
            <w:tcBorders>
              <w:top w:val="single" w:sz="4" w:space="0" w:color="auto"/>
              <w:left w:val="single" w:sz="4" w:space="0" w:color="auto"/>
              <w:bottom w:val="single" w:sz="4" w:space="0" w:color="auto"/>
              <w:right w:val="single" w:sz="4" w:space="0" w:color="auto"/>
            </w:tcBorders>
          </w:tcPr>
          <w:p w14:paraId="498E28C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Information</w:t>
            </w:r>
          </w:p>
        </w:tc>
        <w:tc>
          <w:tcPr>
            <w:tcW w:w="300" w:type="dxa"/>
            <w:tcBorders>
              <w:top w:val="single" w:sz="4" w:space="0" w:color="auto"/>
              <w:left w:val="single" w:sz="4" w:space="0" w:color="auto"/>
              <w:bottom w:val="single" w:sz="4" w:space="0" w:color="auto"/>
              <w:right w:val="single" w:sz="4" w:space="0" w:color="auto"/>
            </w:tcBorders>
          </w:tcPr>
          <w:p w14:paraId="6DBE5452"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c>
          <w:tcPr>
            <w:tcW w:w="1514" w:type="dxa"/>
            <w:gridSpan w:val="2"/>
            <w:tcBorders>
              <w:top w:val="single" w:sz="4" w:space="0" w:color="auto"/>
              <w:left w:val="single" w:sz="4" w:space="0" w:color="auto"/>
              <w:bottom w:val="single" w:sz="4" w:space="0" w:color="auto"/>
              <w:right w:val="single" w:sz="4" w:space="0" w:color="auto"/>
            </w:tcBorders>
          </w:tcPr>
          <w:p w14:paraId="39B5C753"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Assurance</w:t>
            </w:r>
          </w:p>
        </w:tc>
        <w:tc>
          <w:tcPr>
            <w:tcW w:w="724" w:type="dxa"/>
            <w:tcBorders>
              <w:top w:val="single" w:sz="4" w:space="0" w:color="auto"/>
              <w:left w:val="single" w:sz="4" w:space="0" w:color="auto"/>
              <w:bottom w:val="single" w:sz="4" w:space="0" w:color="auto"/>
              <w:right w:val="single" w:sz="4" w:space="0" w:color="auto"/>
            </w:tcBorders>
          </w:tcPr>
          <w:p w14:paraId="0DAC869C" w14:textId="77777777" w:rsidR="00541DE7" w:rsidRPr="00CA712F" w:rsidRDefault="00541DE7" w:rsidP="004B3D3B">
            <w:pPr>
              <w:spacing w:after="0" w:line="240" w:lineRule="auto"/>
              <w:jc w:val="center"/>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r>
      <w:tr w:rsidR="00541DE7" w:rsidRPr="00EB38B7" w14:paraId="45754CC6" w14:textId="77777777" w:rsidTr="00587EE5">
        <w:trPr>
          <w:cantSplit/>
          <w:trHeight w:hRule="exact" w:val="2934"/>
        </w:trPr>
        <w:tc>
          <w:tcPr>
            <w:tcW w:w="2930" w:type="dxa"/>
            <w:tcBorders>
              <w:top w:val="single" w:sz="4" w:space="0" w:color="auto"/>
              <w:left w:val="single" w:sz="4" w:space="0" w:color="auto"/>
              <w:bottom w:val="single" w:sz="4" w:space="0" w:color="auto"/>
              <w:right w:val="single" w:sz="4" w:space="0" w:color="auto"/>
            </w:tcBorders>
            <w:hideMark/>
          </w:tcPr>
          <w:p w14:paraId="6707A34B" w14:textId="77777777" w:rsidR="00541DE7" w:rsidRPr="00DA6E3D" w:rsidRDefault="00541DE7" w:rsidP="004B3D3B">
            <w:pPr>
              <w:spacing w:after="0" w:line="240" w:lineRule="auto"/>
              <w:rPr>
                <w:rFonts w:ascii="Arial" w:eastAsia="Times New Roman" w:hAnsi="Arial" w:cs="Arial"/>
                <w:b/>
                <w:bCs/>
                <w:color w:val="005EB8"/>
                <w:sz w:val="24"/>
                <w:szCs w:val="24"/>
                <w:lang w:eastAsia="en-GB"/>
              </w:rPr>
            </w:pPr>
            <w:r w:rsidRPr="00DA6E3D">
              <w:rPr>
                <w:rFonts w:ascii="Arial" w:eastAsia="Times New Roman" w:hAnsi="Arial" w:cs="Arial"/>
                <w:b/>
                <w:bCs/>
                <w:color w:val="005EB8"/>
                <w:sz w:val="24"/>
                <w:szCs w:val="24"/>
                <w:lang w:eastAsia="en-GB"/>
              </w:rPr>
              <w:t>Key issues:</w:t>
            </w:r>
          </w:p>
          <w:p w14:paraId="2B106DA2" w14:textId="77777777" w:rsidR="00541DE7" w:rsidRPr="00DA6E3D" w:rsidRDefault="00541DE7" w:rsidP="004B3D3B">
            <w:pPr>
              <w:spacing w:after="0" w:line="240" w:lineRule="auto"/>
              <w:rPr>
                <w:rFonts w:ascii="Arial" w:eastAsia="Times New Roman" w:hAnsi="Arial" w:cs="Arial"/>
                <w:b/>
                <w:bCs/>
                <w:sz w:val="24"/>
                <w:szCs w:val="24"/>
                <w:lang w:eastAsia="en-GB"/>
              </w:rPr>
            </w:pPr>
          </w:p>
        </w:tc>
        <w:tc>
          <w:tcPr>
            <w:tcW w:w="7679" w:type="dxa"/>
            <w:gridSpan w:val="11"/>
            <w:tcBorders>
              <w:top w:val="single" w:sz="4" w:space="0" w:color="auto"/>
              <w:left w:val="single" w:sz="4" w:space="0" w:color="auto"/>
              <w:bottom w:val="single" w:sz="4" w:space="0" w:color="auto"/>
              <w:right w:val="single" w:sz="4" w:space="0" w:color="auto"/>
            </w:tcBorders>
            <w:vAlign w:val="center"/>
          </w:tcPr>
          <w:p w14:paraId="2A6F2A5E" w14:textId="3A8C82BB"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A sustained overall registered staffing fill rate of &gt;95% has been maintained.</w:t>
            </w:r>
          </w:p>
          <w:p w14:paraId="05B92A6C" w14:textId="0DBF362D"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No wards recorded an overall fill rate below 75% during the reporting month.</w:t>
            </w:r>
          </w:p>
          <w:p w14:paraId="2B9D35A5" w14:textId="5D85FC52"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The continued increase in overall fill rates is multifactorial, including a rise in enhanced care requirements.</w:t>
            </w:r>
          </w:p>
          <w:p w14:paraId="6DEC6EFB" w14:textId="1CCD19CB" w:rsidR="00541DE7" w:rsidRPr="00587EE5" w:rsidRDefault="00E16D7D" w:rsidP="00672977">
            <w:pPr>
              <w:pStyle w:val="ListParagraph"/>
              <w:numPr>
                <w:ilvl w:val="0"/>
                <w:numId w:val="19"/>
              </w:numPr>
              <w:spacing w:after="0" w:line="240" w:lineRule="auto"/>
              <w:rPr>
                <w:rFonts w:ascii="Arial" w:eastAsia="Times New Roman" w:hAnsi="Arial" w:cs="Arial"/>
                <w:lang w:eastAsia="en-GB"/>
              </w:rPr>
            </w:pPr>
            <w:r w:rsidRPr="00E16D7D">
              <w:rPr>
                <w:rFonts w:ascii="Arial" w:eastAsia="Times New Roman" w:hAnsi="Arial" w:cs="Arial"/>
                <w:lang w:eastAsia="en-GB"/>
              </w:rPr>
              <w:t>The full year nursing and midwifery establishment review was completed in September 2025 and is progressing through the agreed governance processes, with submission to the People Committee in January 2026 and the Trust Board in February 2026.</w:t>
            </w:r>
          </w:p>
          <w:p w14:paraId="226A896C" w14:textId="77777777" w:rsidR="00541DE7" w:rsidRPr="00590685" w:rsidRDefault="00541DE7" w:rsidP="00672977">
            <w:pPr>
              <w:spacing w:after="0" w:line="240" w:lineRule="auto"/>
              <w:rPr>
                <w:rFonts w:ascii="Arial" w:eastAsia="Times New Roman" w:hAnsi="Arial" w:cs="Arial"/>
                <w:sz w:val="24"/>
                <w:szCs w:val="24"/>
                <w:lang w:eastAsia="en-GB"/>
              </w:rPr>
            </w:pPr>
          </w:p>
          <w:p w14:paraId="6C26BFFC" w14:textId="77777777" w:rsidR="00541DE7" w:rsidRPr="00590685" w:rsidRDefault="00541DE7" w:rsidP="00672977">
            <w:pPr>
              <w:spacing w:after="0" w:line="240" w:lineRule="auto"/>
              <w:rPr>
                <w:rFonts w:ascii="Arial" w:eastAsia="Times New Roman" w:hAnsi="Arial" w:cs="Arial"/>
                <w:sz w:val="24"/>
                <w:szCs w:val="24"/>
                <w:lang w:eastAsia="en-GB"/>
              </w:rPr>
            </w:pPr>
          </w:p>
          <w:p w14:paraId="25A018E4" w14:textId="77777777" w:rsidR="00541DE7" w:rsidRPr="00590685" w:rsidRDefault="00541DE7" w:rsidP="00672977">
            <w:pPr>
              <w:spacing w:after="0" w:line="240" w:lineRule="auto"/>
              <w:rPr>
                <w:rFonts w:ascii="Arial" w:eastAsia="Times New Roman" w:hAnsi="Arial" w:cs="Arial"/>
                <w:sz w:val="24"/>
                <w:szCs w:val="24"/>
                <w:lang w:eastAsia="en-GB"/>
              </w:rPr>
            </w:pPr>
          </w:p>
          <w:p w14:paraId="09E79D80" w14:textId="77777777" w:rsidR="00541DE7" w:rsidRPr="00590685" w:rsidRDefault="00541DE7" w:rsidP="00672977">
            <w:pPr>
              <w:spacing w:after="0" w:line="240" w:lineRule="auto"/>
              <w:rPr>
                <w:rFonts w:ascii="Arial" w:eastAsia="Times New Roman" w:hAnsi="Arial" w:cs="Arial"/>
                <w:sz w:val="24"/>
                <w:szCs w:val="24"/>
                <w:lang w:eastAsia="en-GB"/>
              </w:rPr>
            </w:pPr>
          </w:p>
          <w:p w14:paraId="1591F398" w14:textId="77777777" w:rsidR="00541DE7" w:rsidRPr="00590685" w:rsidRDefault="00541DE7" w:rsidP="00672977">
            <w:pPr>
              <w:spacing w:after="0" w:line="240" w:lineRule="auto"/>
              <w:rPr>
                <w:rFonts w:ascii="Arial" w:eastAsia="Times New Roman" w:hAnsi="Arial" w:cs="Arial"/>
                <w:sz w:val="24"/>
                <w:szCs w:val="24"/>
                <w:lang w:eastAsia="en-GB"/>
              </w:rPr>
            </w:pPr>
          </w:p>
          <w:p w14:paraId="1B3ADB9F" w14:textId="77777777" w:rsidR="00541DE7" w:rsidRPr="00590685" w:rsidRDefault="00541DE7" w:rsidP="00672977">
            <w:pPr>
              <w:spacing w:after="0" w:line="240" w:lineRule="auto"/>
              <w:rPr>
                <w:rFonts w:ascii="Arial" w:eastAsia="Times New Roman" w:hAnsi="Arial" w:cs="Arial"/>
                <w:sz w:val="24"/>
                <w:szCs w:val="24"/>
                <w:lang w:eastAsia="en-GB"/>
              </w:rPr>
            </w:pPr>
          </w:p>
          <w:p w14:paraId="3C082E97" w14:textId="77777777" w:rsidR="00541DE7" w:rsidRPr="00590685" w:rsidRDefault="00541DE7" w:rsidP="00672977">
            <w:pPr>
              <w:spacing w:after="0" w:line="240" w:lineRule="auto"/>
              <w:rPr>
                <w:rFonts w:ascii="Arial" w:eastAsia="Times New Roman" w:hAnsi="Arial" w:cs="Arial"/>
                <w:sz w:val="24"/>
                <w:szCs w:val="24"/>
                <w:lang w:eastAsia="en-GB"/>
              </w:rPr>
            </w:pPr>
          </w:p>
          <w:p w14:paraId="20F029CE" w14:textId="77777777" w:rsidR="00541DE7" w:rsidRPr="00590685" w:rsidRDefault="00541DE7" w:rsidP="00672977">
            <w:pPr>
              <w:spacing w:after="0" w:line="240" w:lineRule="auto"/>
              <w:rPr>
                <w:rFonts w:ascii="Arial" w:eastAsia="Times New Roman" w:hAnsi="Arial" w:cs="Arial"/>
                <w:sz w:val="24"/>
                <w:szCs w:val="24"/>
                <w:lang w:eastAsia="en-GB"/>
              </w:rPr>
            </w:pPr>
          </w:p>
          <w:p w14:paraId="38807A3C" w14:textId="77777777" w:rsidR="00541DE7" w:rsidRPr="00590685" w:rsidRDefault="00541DE7" w:rsidP="00672977">
            <w:pPr>
              <w:spacing w:after="0" w:line="240" w:lineRule="auto"/>
              <w:rPr>
                <w:rFonts w:ascii="Arial" w:eastAsia="Times New Roman" w:hAnsi="Arial" w:cs="Arial"/>
                <w:sz w:val="24"/>
                <w:szCs w:val="24"/>
                <w:lang w:eastAsia="en-GB"/>
              </w:rPr>
            </w:pPr>
          </w:p>
          <w:p w14:paraId="33DE24B1" w14:textId="77777777" w:rsidR="00541DE7" w:rsidRPr="00590685" w:rsidRDefault="00541DE7" w:rsidP="00672977">
            <w:pPr>
              <w:spacing w:after="0" w:line="240" w:lineRule="auto"/>
              <w:rPr>
                <w:rFonts w:ascii="Arial" w:eastAsia="Times New Roman" w:hAnsi="Arial" w:cs="Arial"/>
                <w:sz w:val="24"/>
                <w:szCs w:val="24"/>
                <w:lang w:eastAsia="en-GB"/>
              </w:rPr>
            </w:pPr>
          </w:p>
          <w:p w14:paraId="6C326C6B" w14:textId="77777777" w:rsidR="00541DE7" w:rsidRPr="00590685" w:rsidRDefault="00541DE7" w:rsidP="00672977">
            <w:pPr>
              <w:spacing w:after="0" w:line="240" w:lineRule="auto"/>
              <w:rPr>
                <w:rFonts w:ascii="Arial" w:eastAsia="Times New Roman" w:hAnsi="Arial" w:cs="Arial"/>
                <w:sz w:val="24"/>
                <w:szCs w:val="24"/>
                <w:lang w:eastAsia="en-GB"/>
              </w:rPr>
            </w:pPr>
          </w:p>
          <w:p w14:paraId="65764812" w14:textId="77777777" w:rsidR="00541DE7" w:rsidRPr="00590685" w:rsidRDefault="00541DE7" w:rsidP="00672977">
            <w:pPr>
              <w:spacing w:after="0" w:line="240" w:lineRule="auto"/>
              <w:rPr>
                <w:rFonts w:ascii="Arial" w:eastAsia="Times New Roman" w:hAnsi="Arial" w:cs="Arial"/>
                <w:sz w:val="24"/>
                <w:szCs w:val="24"/>
                <w:lang w:eastAsia="en-GB"/>
              </w:rPr>
            </w:pPr>
          </w:p>
          <w:p w14:paraId="05B7B67B" w14:textId="77777777" w:rsidR="00541DE7" w:rsidRPr="00590685" w:rsidRDefault="00541DE7" w:rsidP="00672977">
            <w:pPr>
              <w:spacing w:after="0" w:line="240" w:lineRule="auto"/>
              <w:rPr>
                <w:rFonts w:ascii="Arial" w:eastAsia="Times New Roman" w:hAnsi="Arial" w:cs="Arial"/>
                <w:sz w:val="24"/>
                <w:szCs w:val="24"/>
                <w:lang w:eastAsia="en-GB"/>
              </w:rPr>
            </w:pPr>
          </w:p>
          <w:p w14:paraId="73E03B49" w14:textId="77777777" w:rsidR="00541DE7" w:rsidRPr="00590685" w:rsidRDefault="00541DE7" w:rsidP="00672977">
            <w:pPr>
              <w:spacing w:after="0" w:line="240" w:lineRule="auto"/>
              <w:rPr>
                <w:rFonts w:ascii="Arial" w:eastAsia="Times New Roman" w:hAnsi="Arial" w:cs="Arial"/>
                <w:sz w:val="24"/>
                <w:szCs w:val="24"/>
                <w:lang w:eastAsia="en-GB"/>
              </w:rPr>
            </w:pPr>
          </w:p>
          <w:p w14:paraId="7C4F5EF8" w14:textId="77777777" w:rsidR="00541DE7" w:rsidRPr="00590685" w:rsidRDefault="00541DE7" w:rsidP="00672977">
            <w:pPr>
              <w:spacing w:after="0" w:line="240" w:lineRule="auto"/>
              <w:rPr>
                <w:rFonts w:ascii="Arial" w:eastAsia="Times New Roman" w:hAnsi="Arial" w:cs="Arial"/>
                <w:sz w:val="24"/>
                <w:szCs w:val="24"/>
                <w:lang w:eastAsia="en-GB"/>
              </w:rPr>
            </w:pPr>
          </w:p>
          <w:p w14:paraId="0BFB4F40" w14:textId="77777777" w:rsidR="00541DE7" w:rsidRPr="00590685" w:rsidRDefault="00541DE7" w:rsidP="00672977">
            <w:pPr>
              <w:spacing w:after="0" w:line="240" w:lineRule="auto"/>
              <w:rPr>
                <w:rFonts w:ascii="Arial" w:eastAsia="Times New Roman" w:hAnsi="Arial" w:cs="Arial"/>
                <w:sz w:val="24"/>
                <w:szCs w:val="24"/>
                <w:lang w:eastAsia="en-GB"/>
              </w:rPr>
            </w:pPr>
          </w:p>
          <w:p w14:paraId="431C072B" w14:textId="77777777" w:rsidR="00541DE7" w:rsidRPr="00590685" w:rsidRDefault="00541DE7" w:rsidP="00672977">
            <w:pPr>
              <w:spacing w:after="0" w:line="240" w:lineRule="auto"/>
              <w:rPr>
                <w:rFonts w:ascii="Arial" w:eastAsia="Times New Roman" w:hAnsi="Arial" w:cs="Arial"/>
                <w:sz w:val="24"/>
                <w:szCs w:val="24"/>
                <w:lang w:eastAsia="en-GB"/>
              </w:rPr>
            </w:pPr>
          </w:p>
          <w:p w14:paraId="254BC9F3" w14:textId="77777777" w:rsidR="00541DE7" w:rsidRPr="00590685" w:rsidRDefault="00541DE7" w:rsidP="00672977">
            <w:pPr>
              <w:spacing w:after="0" w:line="240" w:lineRule="auto"/>
              <w:rPr>
                <w:rFonts w:ascii="Arial" w:eastAsia="Times New Roman" w:hAnsi="Arial" w:cs="Arial"/>
                <w:sz w:val="24"/>
                <w:szCs w:val="24"/>
                <w:lang w:eastAsia="en-GB"/>
              </w:rPr>
            </w:pPr>
          </w:p>
          <w:p w14:paraId="678F3422" w14:textId="77777777" w:rsidR="00541DE7" w:rsidRPr="00590685" w:rsidRDefault="00541DE7" w:rsidP="00672977">
            <w:pPr>
              <w:spacing w:after="0" w:line="240" w:lineRule="auto"/>
              <w:rPr>
                <w:rFonts w:ascii="Arial" w:eastAsia="Times New Roman" w:hAnsi="Arial" w:cs="Arial"/>
                <w:sz w:val="24"/>
                <w:szCs w:val="24"/>
                <w:lang w:eastAsia="en-GB"/>
              </w:rPr>
            </w:pPr>
          </w:p>
          <w:p w14:paraId="7BCFF9C7" w14:textId="77777777" w:rsidR="00541DE7" w:rsidRPr="00590685" w:rsidRDefault="00541DE7" w:rsidP="00672977">
            <w:pPr>
              <w:spacing w:after="0" w:line="240" w:lineRule="auto"/>
              <w:rPr>
                <w:rFonts w:ascii="Arial" w:eastAsia="Times New Roman" w:hAnsi="Arial" w:cs="Arial"/>
                <w:sz w:val="24"/>
                <w:szCs w:val="24"/>
                <w:lang w:eastAsia="en-GB"/>
              </w:rPr>
            </w:pPr>
          </w:p>
          <w:p w14:paraId="74AE4A0A" w14:textId="77777777" w:rsidR="00541DE7" w:rsidRPr="00590685" w:rsidRDefault="00541DE7" w:rsidP="00672977">
            <w:pPr>
              <w:spacing w:after="0" w:line="240" w:lineRule="auto"/>
              <w:rPr>
                <w:rFonts w:ascii="Arial" w:eastAsia="Times New Roman" w:hAnsi="Arial" w:cs="Arial"/>
                <w:sz w:val="24"/>
                <w:szCs w:val="24"/>
                <w:lang w:eastAsia="en-GB"/>
              </w:rPr>
            </w:pPr>
          </w:p>
          <w:p w14:paraId="5D5B607C" w14:textId="77777777" w:rsidR="00541DE7" w:rsidRPr="00590685" w:rsidRDefault="00541DE7" w:rsidP="00672977">
            <w:pPr>
              <w:spacing w:after="0" w:line="240" w:lineRule="auto"/>
              <w:rPr>
                <w:rFonts w:ascii="Arial" w:eastAsia="Times New Roman" w:hAnsi="Arial" w:cs="Arial"/>
                <w:sz w:val="24"/>
                <w:szCs w:val="24"/>
                <w:lang w:eastAsia="en-GB"/>
              </w:rPr>
            </w:pPr>
          </w:p>
          <w:p w14:paraId="159162D2" w14:textId="77777777" w:rsidR="00541DE7" w:rsidRPr="00590685" w:rsidRDefault="00541DE7" w:rsidP="00672977">
            <w:pPr>
              <w:spacing w:after="0" w:line="240" w:lineRule="auto"/>
              <w:rPr>
                <w:rFonts w:ascii="Arial" w:eastAsia="Times New Roman" w:hAnsi="Arial" w:cs="Arial"/>
                <w:sz w:val="24"/>
                <w:szCs w:val="24"/>
                <w:lang w:eastAsia="en-GB"/>
              </w:rPr>
            </w:pPr>
          </w:p>
          <w:p w14:paraId="0588C9BD" w14:textId="77777777" w:rsidR="00541DE7" w:rsidRPr="00590685" w:rsidRDefault="00541DE7" w:rsidP="00672977">
            <w:pPr>
              <w:spacing w:after="0" w:line="240" w:lineRule="auto"/>
              <w:rPr>
                <w:rFonts w:ascii="Arial" w:eastAsia="Times New Roman" w:hAnsi="Arial" w:cs="Arial"/>
                <w:sz w:val="24"/>
                <w:szCs w:val="24"/>
                <w:lang w:eastAsia="en-GB"/>
              </w:rPr>
            </w:pPr>
          </w:p>
          <w:p w14:paraId="6BB01B05" w14:textId="77777777" w:rsidR="00541DE7" w:rsidRPr="00590685" w:rsidRDefault="00541DE7" w:rsidP="00672977">
            <w:pPr>
              <w:spacing w:after="0" w:line="240" w:lineRule="auto"/>
              <w:rPr>
                <w:rFonts w:ascii="Arial" w:eastAsia="Times New Roman" w:hAnsi="Arial" w:cs="Arial"/>
                <w:sz w:val="24"/>
                <w:szCs w:val="24"/>
                <w:lang w:eastAsia="en-GB"/>
              </w:rPr>
            </w:pPr>
          </w:p>
          <w:p w14:paraId="5E0973F8" w14:textId="77777777" w:rsidR="00541DE7" w:rsidRPr="00590685" w:rsidRDefault="00541DE7" w:rsidP="00672977">
            <w:pPr>
              <w:spacing w:after="0" w:line="240" w:lineRule="auto"/>
              <w:rPr>
                <w:rFonts w:ascii="Arial" w:eastAsia="Times New Roman" w:hAnsi="Arial" w:cs="Arial"/>
                <w:sz w:val="24"/>
                <w:szCs w:val="24"/>
                <w:lang w:eastAsia="en-GB"/>
              </w:rPr>
            </w:pPr>
          </w:p>
          <w:p w14:paraId="2BB2D354" w14:textId="77777777" w:rsidR="00541DE7" w:rsidRPr="00590685" w:rsidRDefault="00541DE7" w:rsidP="00672977">
            <w:pPr>
              <w:spacing w:after="0" w:line="240" w:lineRule="auto"/>
              <w:rPr>
                <w:rFonts w:ascii="Arial" w:eastAsia="Times New Roman" w:hAnsi="Arial" w:cs="Arial"/>
                <w:sz w:val="24"/>
                <w:szCs w:val="24"/>
                <w:lang w:eastAsia="en-GB"/>
              </w:rPr>
            </w:pPr>
          </w:p>
          <w:p w14:paraId="0661F604" w14:textId="77777777" w:rsidR="00541DE7" w:rsidRPr="00590685" w:rsidRDefault="00541DE7" w:rsidP="00672977">
            <w:pPr>
              <w:spacing w:after="0" w:line="240" w:lineRule="auto"/>
              <w:rPr>
                <w:rFonts w:ascii="Arial" w:eastAsia="Times New Roman" w:hAnsi="Arial" w:cs="Arial"/>
                <w:sz w:val="24"/>
                <w:szCs w:val="24"/>
                <w:lang w:eastAsia="en-GB"/>
              </w:rPr>
            </w:pPr>
          </w:p>
          <w:p w14:paraId="7727A947" w14:textId="77777777" w:rsidR="00541DE7" w:rsidRPr="00590685" w:rsidRDefault="00541DE7" w:rsidP="00672977">
            <w:pPr>
              <w:spacing w:after="0" w:line="240" w:lineRule="auto"/>
              <w:rPr>
                <w:rFonts w:ascii="Arial" w:eastAsia="Times New Roman" w:hAnsi="Arial" w:cs="Arial"/>
                <w:sz w:val="24"/>
                <w:szCs w:val="24"/>
                <w:lang w:eastAsia="en-GB"/>
              </w:rPr>
            </w:pPr>
          </w:p>
          <w:p w14:paraId="479600FA" w14:textId="77777777" w:rsidR="00541DE7" w:rsidRPr="00590685" w:rsidRDefault="00541DE7" w:rsidP="00672977">
            <w:pPr>
              <w:spacing w:after="0" w:line="240" w:lineRule="auto"/>
              <w:rPr>
                <w:rFonts w:ascii="Arial" w:eastAsia="Times New Roman" w:hAnsi="Arial" w:cs="Arial"/>
                <w:sz w:val="24"/>
                <w:szCs w:val="24"/>
                <w:lang w:eastAsia="en-GB"/>
              </w:rPr>
            </w:pPr>
          </w:p>
          <w:p w14:paraId="60B05E25" w14:textId="77777777" w:rsidR="00541DE7" w:rsidRPr="00590685" w:rsidRDefault="00541DE7" w:rsidP="00672977">
            <w:pPr>
              <w:spacing w:after="0" w:line="240" w:lineRule="auto"/>
              <w:rPr>
                <w:rFonts w:ascii="Arial" w:eastAsia="Times New Roman" w:hAnsi="Arial" w:cs="Arial"/>
                <w:sz w:val="24"/>
                <w:szCs w:val="24"/>
                <w:lang w:eastAsia="en-GB"/>
              </w:rPr>
            </w:pPr>
          </w:p>
          <w:p w14:paraId="69189DC9" w14:textId="77777777" w:rsidR="00541DE7" w:rsidRPr="00590685" w:rsidRDefault="00541DE7" w:rsidP="00672977">
            <w:pPr>
              <w:spacing w:after="0" w:line="240" w:lineRule="auto"/>
              <w:rPr>
                <w:rFonts w:ascii="Arial" w:eastAsia="Times New Roman" w:hAnsi="Arial" w:cs="Arial"/>
                <w:sz w:val="24"/>
                <w:szCs w:val="24"/>
                <w:lang w:eastAsia="en-GB"/>
              </w:rPr>
            </w:pPr>
          </w:p>
          <w:p w14:paraId="706A1AE2" w14:textId="77777777" w:rsidR="00541DE7" w:rsidRPr="00590685" w:rsidRDefault="00541DE7" w:rsidP="00672977">
            <w:pPr>
              <w:spacing w:after="0" w:line="240" w:lineRule="auto"/>
              <w:rPr>
                <w:rFonts w:ascii="Arial" w:eastAsia="Times New Roman" w:hAnsi="Arial" w:cs="Arial"/>
                <w:sz w:val="24"/>
                <w:szCs w:val="24"/>
                <w:lang w:eastAsia="en-GB"/>
              </w:rPr>
            </w:pPr>
          </w:p>
          <w:p w14:paraId="31963B66" w14:textId="77777777" w:rsidR="00541DE7" w:rsidRPr="00590685" w:rsidRDefault="00541DE7" w:rsidP="00672977">
            <w:pPr>
              <w:spacing w:after="0" w:line="240" w:lineRule="auto"/>
              <w:rPr>
                <w:rFonts w:ascii="Arial" w:eastAsia="Times New Roman" w:hAnsi="Arial" w:cs="Arial"/>
                <w:sz w:val="24"/>
                <w:szCs w:val="24"/>
                <w:lang w:eastAsia="en-GB"/>
              </w:rPr>
            </w:pPr>
          </w:p>
          <w:p w14:paraId="6B719616" w14:textId="77777777" w:rsidR="00541DE7" w:rsidRPr="00590685" w:rsidRDefault="00541DE7" w:rsidP="00672977">
            <w:pPr>
              <w:spacing w:after="0" w:line="240" w:lineRule="auto"/>
              <w:rPr>
                <w:rFonts w:ascii="Arial" w:eastAsia="Times New Roman" w:hAnsi="Arial" w:cs="Arial"/>
                <w:sz w:val="24"/>
                <w:szCs w:val="24"/>
                <w:lang w:eastAsia="en-GB"/>
              </w:rPr>
            </w:pPr>
          </w:p>
          <w:p w14:paraId="7F97C89E" w14:textId="77777777" w:rsidR="00541DE7" w:rsidRPr="00590685" w:rsidRDefault="00541DE7" w:rsidP="00672977">
            <w:pPr>
              <w:spacing w:after="0" w:line="240" w:lineRule="auto"/>
              <w:rPr>
                <w:rFonts w:ascii="Arial" w:eastAsia="Times New Roman" w:hAnsi="Arial" w:cs="Arial"/>
                <w:sz w:val="24"/>
                <w:szCs w:val="24"/>
                <w:lang w:eastAsia="en-GB"/>
              </w:rPr>
            </w:pPr>
          </w:p>
          <w:p w14:paraId="7CF854B3" w14:textId="77777777" w:rsidR="00541DE7" w:rsidRPr="00590685" w:rsidRDefault="00541DE7" w:rsidP="00672977">
            <w:pPr>
              <w:spacing w:after="0" w:line="240" w:lineRule="auto"/>
              <w:rPr>
                <w:rFonts w:ascii="Arial" w:eastAsia="Times New Roman" w:hAnsi="Arial" w:cs="Arial"/>
                <w:sz w:val="24"/>
                <w:szCs w:val="24"/>
                <w:lang w:eastAsia="en-GB"/>
              </w:rPr>
            </w:pPr>
          </w:p>
          <w:p w14:paraId="5DD6483E" w14:textId="77777777" w:rsidR="00541DE7" w:rsidRPr="00590685" w:rsidRDefault="00541DE7" w:rsidP="00672977">
            <w:pPr>
              <w:spacing w:after="0" w:line="240" w:lineRule="auto"/>
              <w:rPr>
                <w:rFonts w:ascii="Arial" w:eastAsia="Times New Roman" w:hAnsi="Arial" w:cs="Arial"/>
                <w:sz w:val="24"/>
                <w:szCs w:val="24"/>
                <w:lang w:eastAsia="en-GB"/>
              </w:rPr>
            </w:pPr>
          </w:p>
          <w:p w14:paraId="009E5E0D" w14:textId="77777777" w:rsidR="00541DE7" w:rsidRPr="00590685" w:rsidRDefault="00541DE7" w:rsidP="00672977">
            <w:pPr>
              <w:spacing w:after="0" w:line="240" w:lineRule="auto"/>
              <w:rPr>
                <w:rFonts w:ascii="Arial" w:eastAsia="Times New Roman" w:hAnsi="Arial" w:cs="Arial"/>
                <w:sz w:val="24"/>
                <w:szCs w:val="24"/>
                <w:lang w:eastAsia="en-GB"/>
              </w:rPr>
            </w:pPr>
          </w:p>
          <w:p w14:paraId="568ABEEF" w14:textId="77777777" w:rsidR="00541DE7" w:rsidRPr="00590685" w:rsidRDefault="00541DE7" w:rsidP="00672977">
            <w:pPr>
              <w:spacing w:after="0" w:line="240" w:lineRule="auto"/>
              <w:rPr>
                <w:rFonts w:ascii="Arial" w:eastAsia="Times New Roman" w:hAnsi="Arial" w:cs="Arial"/>
                <w:sz w:val="24"/>
                <w:szCs w:val="24"/>
                <w:lang w:eastAsia="en-GB"/>
              </w:rPr>
            </w:pPr>
          </w:p>
          <w:p w14:paraId="23CBC918" w14:textId="77777777" w:rsidR="00541DE7" w:rsidRPr="00590685" w:rsidRDefault="00541DE7" w:rsidP="00672977">
            <w:pPr>
              <w:spacing w:after="0" w:line="240" w:lineRule="auto"/>
              <w:rPr>
                <w:rFonts w:ascii="Arial" w:eastAsia="Times New Roman" w:hAnsi="Arial" w:cs="Arial"/>
                <w:sz w:val="24"/>
                <w:szCs w:val="24"/>
                <w:lang w:eastAsia="en-GB"/>
              </w:rPr>
            </w:pPr>
          </w:p>
          <w:p w14:paraId="5BEE5CBB" w14:textId="77777777" w:rsidR="00541DE7" w:rsidRPr="00590685" w:rsidRDefault="00541DE7" w:rsidP="00672977">
            <w:pPr>
              <w:spacing w:after="0" w:line="240" w:lineRule="auto"/>
              <w:rPr>
                <w:rFonts w:ascii="Arial" w:eastAsia="Times New Roman" w:hAnsi="Arial" w:cs="Arial"/>
                <w:sz w:val="24"/>
                <w:szCs w:val="24"/>
                <w:lang w:eastAsia="en-GB"/>
              </w:rPr>
            </w:pPr>
          </w:p>
          <w:p w14:paraId="626868EB" w14:textId="77777777" w:rsidR="00541DE7" w:rsidRPr="00590685" w:rsidRDefault="00541DE7" w:rsidP="00672977">
            <w:pPr>
              <w:spacing w:after="0" w:line="240" w:lineRule="auto"/>
              <w:rPr>
                <w:rFonts w:ascii="Arial" w:eastAsia="Times New Roman" w:hAnsi="Arial" w:cs="Arial"/>
                <w:sz w:val="24"/>
                <w:szCs w:val="24"/>
                <w:lang w:eastAsia="en-GB"/>
              </w:rPr>
            </w:pPr>
          </w:p>
          <w:p w14:paraId="5A8DEA4B" w14:textId="77777777" w:rsidR="00541DE7" w:rsidRPr="00590685" w:rsidRDefault="00541DE7" w:rsidP="00672977">
            <w:pPr>
              <w:spacing w:after="0" w:line="240" w:lineRule="auto"/>
              <w:rPr>
                <w:rFonts w:ascii="Arial" w:eastAsia="Times New Roman" w:hAnsi="Arial" w:cs="Arial"/>
                <w:sz w:val="24"/>
                <w:szCs w:val="24"/>
                <w:lang w:eastAsia="en-GB"/>
              </w:rPr>
            </w:pPr>
          </w:p>
          <w:p w14:paraId="116220CE" w14:textId="77777777" w:rsidR="00541DE7" w:rsidRPr="00590685" w:rsidRDefault="00541DE7" w:rsidP="00672977">
            <w:pPr>
              <w:spacing w:after="0" w:line="240" w:lineRule="auto"/>
              <w:rPr>
                <w:rFonts w:ascii="Arial" w:eastAsia="Times New Roman" w:hAnsi="Arial" w:cs="Arial"/>
                <w:sz w:val="24"/>
                <w:szCs w:val="24"/>
                <w:lang w:eastAsia="en-GB"/>
              </w:rPr>
            </w:pPr>
          </w:p>
          <w:p w14:paraId="7C914557" w14:textId="77777777" w:rsidR="00541DE7" w:rsidRPr="00590685" w:rsidRDefault="00541DE7" w:rsidP="00672977">
            <w:pPr>
              <w:spacing w:after="0" w:line="240" w:lineRule="auto"/>
              <w:rPr>
                <w:rFonts w:ascii="Arial" w:eastAsia="Times New Roman" w:hAnsi="Arial" w:cs="Arial"/>
                <w:sz w:val="24"/>
                <w:szCs w:val="24"/>
                <w:lang w:eastAsia="en-GB"/>
              </w:rPr>
            </w:pPr>
          </w:p>
          <w:p w14:paraId="6C1E17E2" w14:textId="77777777" w:rsidR="00541DE7" w:rsidRPr="00590685" w:rsidRDefault="00541DE7" w:rsidP="00672977">
            <w:pPr>
              <w:spacing w:after="0" w:line="240" w:lineRule="auto"/>
              <w:rPr>
                <w:rFonts w:ascii="Arial" w:eastAsia="Times New Roman" w:hAnsi="Arial" w:cs="Arial"/>
                <w:sz w:val="24"/>
                <w:szCs w:val="24"/>
                <w:lang w:eastAsia="en-GB"/>
              </w:rPr>
            </w:pPr>
          </w:p>
          <w:p w14:paraId="59872DEA" w14:textId="77777777" w:rsidR="00541DE7" w:rsidRPr="00590685" w:rsidRDefault="00541DE7" w:rsidP="00672977">
            <w:pPr>
              <w:spacing w:after="0" w:line="240" w:lineRule="auto"/>
              <w:rPr>
                <w:rFonts w:ascii="Arial" w:eastAsia="Times New Roman" w:hAnsi="Arial" w:cs="Arial"/>
                <w:sz w:val="24"/>
                <w:szCs w:val="24"/>
                <w:lang w:eastAsia="en-GB"/>
              </w:rPr>
            </w:pPr>
          </w:p>
          <w:p w14:paraId="31F94ABE" w14:textId="77777777" w:rsidR="00541DE7" w:rsidRPr="00590685" w:rsidRDefault="00541DE7" w:rsidP="00672977">
            <w:pPr>
              <w:spacing w:after="0" w:line="240" w:lineRule="auto"/>
              <w:rPr>
                <w:rFonts w:ascii="Arial" w:eastAsia="Times New Roman" w:hAnsi="Arial" w:cs="Arial"/>
                <w:sz w:val="24"/>
                <w:szCs w:val="24"/>
                <w:lang w:eastAsia="en-GB"/>
              </w:rPr>
            </w:pPr>
          </w:p>
          <w:p w14:paraId="43B5219B" w14:textId="77777777" w:rsidR="00541DE7" w:rsidRPr="00590685" w:rsidRDefault="00541DE7" w:rsidP="00672977">
            <w:pPr>
              <w:spacing w:after="0" w:line="240" w:lineRule="auto"/>
              <w:rPr>
                <w:rFonts w:ascii="Arial" w:eastAsia="Times New Roman" w:hAnsi="Arial" w:cs="Arial"/>
                <w:sz w:val="24"/>
                <w:szCs w:val="24"/>
                <w:lang w:eastAsia="en-GB"/>
              </w:rPr>
            </w:pPr>
          </w:p>
          <w:p w14:paraId="16D71532" w14:textId="77777777" w:rsidR="00541DE7" w:rsidRPr="00590685" w:rsidRDefault="00541DE7" w:rsidP="00672977">
            <w:pPr>
              <w:spacing w:after="0" w:line="240" w:lineRule="auto"/>
              <w:rPr>
                <w:rFonts w:ascii="Arial" w:eastAsia="Times New Roman" w:hAnsi="Arial" w:cs="Arial"/>
                <w:sz w:val="24"/>
                <w:szCs w:val="24"/>
                <w:lang w:eastAsia="en-GB"/>
              </w:rPr>
            </w:pPr>
          </w:p>
          <w:p w14:paraId="5454E97E" w14:textId="77777777" w:rsidR="00541DE7" w:rsidRPr="00590685" w:rsidRDefault="00541DE7" w:rsidP="00672977">
            <w:pPr>
              <w:spacing w:after="0" w:line="240" w:lineRule="auto"/>
              <w:rPr>
                <w:rFonts w:ascii="Arial" w:eastAsia="Times New Roman" w:hAnsi="Arial" w:cs="Arial"/>
                <w:sz w:val="24"/>
                <w:szCs w:val="24"/>
                <w:lang w:eastAsia="en-GB"/>
              </w:rPr>
            </w:pPr>
          </w:p>
          <w:p w14:paraId="588E67CE" w14:textId="77777777" w:rsidR="00541DE7" w:rsidRPr="00590685" w:rsidRDefault="00541DE7" w:rsidP="00672977">
            <w:pPr>
              <w:spacing w:after="0" w:line="240" w:lineRule="auto"/>
              <w:rPr>
                <w:rFonts w:ascii="Arial" w:eastAsia="Times New Roman" w:hAnsi="Arial" w:cs="Arial"/>
                <w:sz w:val="24"/>
                <w:szCs w:val="24"/>
                <w:lang w:eastAsia="en-GB"/>
              </w:rPr>
            </w:pPr>
          </w:p>
          <w:p w14:paraId="6A312C4A" w14:textId="77777777" w:rsidR="00541DE7" w:rsidRPr="00590685" w:rsidRDefault="00541DE7" w:rsidP="00672977">
            <w:pPr>
              <w:spacing w:after="0" w:line="240" w:lineRule="auto"/>
              <w:rPr>
                <w:rFonts w:ascii="Arial" w:eastAsia="Times New Roman" w:hAnsi="Arial" w:cs="Arial"/>
                <w:sz w:val="24"/>
                <w:szCs w:val="24"/>
                <w:lang w:eastAsia="en-GB"/>
              </w:rPr>
            </w:pPr>
          </w:p>
          <w:p w14:paraId="7B7D06A5" w14:textId="77777777" w:rsidR="00541DE7" w:rsidRPr="00590685" w:rsidRDefault="00541DE7" w:rsidP="00672977">
            <w:pPr>
              <w:spacing w:after="0" w:line="240" w:lineRule="auto"/>
              <w:rPr>
                <w:rFonts w:ascii="Arial" w:eastAsia="Times New Roman" w:hAnsi="Arial" w:cs="Arial"/>
                <w:sz w:val="24"/>
                <w:szCs w:val="24"/>
                <w:lang w:eastAsia="en-GB"/>
              </w:rPr>
            </w:pPr>
          </w:p>
          <w:p w14:paraId="0674DA23" w14:textId="77777777" w:rsidR="00541DE7" w:rsidRPr="00590685" w:rsidRDefault="00541DE7" w:rsidP="00672977">
            <w:pPr>
              <w:spacing w:after="0" w:line="240" w:lineRule="auto"/>
              <w:rPr>
                <w:rFonts w:ascii="Arial" w:eastAsia="Times New Roman" w:hAnsi="Arial" w:cs="Arial"/>
                <w:sz w:val="24"/>
                <w:szCs w:val="24"/>
                <w:lang w:eastAsia="en-GB"/>
              </w:rPr>
            </w:pPr>
          </w:p>
          <w:p w14:paraId="4BE11D4C" w14:textId="77777777" w:rsidR="00541DE7" w:rsidRPr="00590685" w:rsidRDefault="00541DE7" w:rsidP="00672977">
            <w:pPr>
              <w:spacing w:after="0" w:line="240" w:lineRule="auto"/>
              <w:rPr>
                <w:rFonts w:ascii="Arial" w:eastAsia="Times New Roman" w:hAnsi="Arial" w:cs="Arial"/>
                <w:sz w:val="24"/>
                <w:szCs w:val="24"/>
                <w:lang w:eastAsia="en-GB"/>
              </w:rPr>
            </w:pPr>
          </w:p>
          <w:p w14:paraId="162DC960" w14:textId="77777777" w:rsidR="00541DE7" w:rsidRPr="00590685" w:rsidRDefault="00541DE7" w:rsidP="00672977">
            <w:pPr>
              <w:spacing w:after="0" w:line="240" w:lineRule="auto"/>
              <w:rPr>
                <w:rFonts w:ascii="Arial" w:eastAsia="Times New Roman" w:hAnsi="Arial" w:cs="Arial"/>
                <w:sz w:val="24"/>
                <w:szCs w:val="24"/>
                <w:lang w:eastAsia="en-GB"/>
              </w:rPr>
            </w:pPr>
          </w:p>
          <w:p w14:paraId="75931667" w14:textId="77777777" w:rsidR="00541DE7" w:rsidRPr="00590685" w:rsidRDefault="00541DE7" w:rsidP="00672977">
            <w:pPr>
              <w:spacing w:after="0" w:line="240" w:lineRule="auto"/>
              <w:rPr>
                <w:rFonts w:ascii="Arial" w:eastAsia="Times New Roman" w:hAnsi="Arial" w:cs="Arial"/>
                <w:sz w:val="24"/>
                <w:szCs w:val="24"/>
                <w:lang w:eastAsia="en-GB"/>
              </w:rPr>
            </w:pPr>
          </w:p>
          <w:p w14:paraId="26CF65E8" w14:textId="77777777" w:rsidR="00541DE7" w:rsidRPr="00590685" w:rsidRDefault="00541DE7" w:rsidP="00672977">
            <w:pPr>
              <w:spacing w:after="0" w:line="240" w:lineRule="auto"/>
              <w:rPr>
                <w:rFonts w:ascii="Arial" w:eastAsia="Times New Roman" w:hAnsi="Arial" w:cs="Arial"/>
                <w:sz w:val="24"/>
                <w:szCs w:val="24"/>
                <w:lang w:eastAsia="en-GB"/>
              </w:rPr>
            </w:pPr>
          </w:p>
          <w:p w14:paraId="7D852BC0" w14:textId="77777777" w:rsidR="00541DE7" w:rsidRPr="00590685" w:rsidRDefault="00541DE7" w:rsidP="00672977">
            <w:pPr>
              <w:spacing w:after="0" w:line="240" w:lineRule="auto"/>
              <w:rPr>
                <w:rFonts w:ascii="Arial" w:eastAsia="Times New Roman" w:hAnsi="Arial" w:cs="Arial"/>
                <w:sz w:val="24"/>
                <w:szCs w:val="24"/>
                <w:lang w:eastAsia="en-GB"/>
              </w:rPr>
            </w:pPr>
          </w:p>
          <w:p w14:paraId="78EC66F9" w14:textId="77777777" w:rsidR="00541DE7" w:rsidRPr="00590685" w:rsidRDefault="00541DE7" w:rsidP="00672977">
            <w:pPr>
              <w:spacing w:after="0" w:line="240" w:lineRule="auto"/>
              <w:rPr>
                <w:rFonts w:ascii="Arial" w:eastAsia="Times New Roman" w:hAnsi="Arial" w:cs="Arial"/>
                <w:sz w:val="24"/>
                <w:szCs w:val="24"/>
                <w:lang w:eastAsia="en-GB"/>
              </w:rPr>
            </w:pPr>
          </w:p>
          <w:p w14:paraId="203752F9" w14:textId="77777777" w:rsidR="00541DE7" w:rsidRPr="00590685" w:rsidRDefault="00541DE7" w:rsidP="00672977">
            <w:pPr>
              <w:spacing w:after="0" w:line="240" w:lineRule="auto"/>
              <w:rPr>
                <w:rFonts w:ascii="Arial" w:eastAsia="Times New Roman" w:hAnsi="Arial" w:cs="Arial"/>
                <w:sz w:val="24"/>
                <w:szCs w:val="24"/>
                <w:lang w:eastAsia="en-GB"/>
              </w:rPr>
            </w:pPr>
          </w:p>
          <w:p w14:paraId="0576DF52" w14:textId="77777777" w:rsidR="00541DE7" w:rsidRPr="00590685" w:rsidRDefault="00541DE7" w:rsidP="00672977">
            <w:pPr>
              <w:spacing w:after="0" w:line="240" w:lineRule="auto"/>
              <w:rPr>
                <w:rFonts w:ascii="Arial" w:eastAsia="Times New Roman" w:hAnsi="Arial" w:cs="Arial"/>
                <w:sz w:val="24"/>
                <w:szCs w:val="24"/>
                <w:lang w:eastAsia="en-GB"/>
              </w:rPr>
            </w:pPr>
          </w:p>
          <w:p w14:paraId="3C61FD7E" w14:textId="77777777" w:rsidR="00541DE7" w:rsidRPr="00590685" w:rsidRDefault="00541DE7" w:rsidP="00672977">
            <w:pPr>
              <w:spacing w:after="0" w:line="240" w:lineRule="auto"/>
              <w:rPr>
                <w:rFonts w:ascii="Arial" w:eastAsia="Times New Roman" w:hAnsi="Arial" w:cs="Arial"/>
                <w:sz w:val="24"/>
                <w:szCs w:val="24"/>
                <w:lang w:eastAsia="en-GB"/>
              </w:rPr>
            </w:pPr>
          </w:p>
          <w:p w14:paraId="1646A72A" w14:textId="77777777" w:rsidR="00541DE7" w:rsidRPr="00590685" w:rsidRDefault="00541DE7" w:rsidP="00672977">
            <w:pPr>
              <w:spacing w:after="0" w:line="240" w:lineRule="auto"/>
              <w:rPr>
                <w:rFonts w:ascii="Arial" w:eastAsia="Times New Roman" w:hAnsi="Arial" w:cs="Arial"/>
                <w:sz w:val="24"/>
                <w:szCs w:val="24"/>
                <w:lang w:eastAsia="en-GB"/>
              </w:rPr>
            </w:pPr>
          </w:p>
          <w:p w14:paraId="2F87A850" w14:textId="77777777" w:rsidR="00541DE7" w:rsidRPr="00590685" w:rsidRDefault="00541DE7" w:rsidP="00672977">
            <w:pPr>
              <w:spacing w:after="0" w:line="240" w:lineRule="auto"/>
              <w:rPr>
                <w:rFonts w:ascii="Arial" w:eastAsia="Times New Roman" w:hAnsi="Arial" w:cs="Arial"/>
                <w:sz w:val="24"/>
                <w:szCs w:val="24"/>
                <w:lang w:eastAsia="en-GB"/>
              </w:rPr>
            </w:pPr>
          </w:p>
          <w:p w14:paraId="0250C56E" w14:textId="77777777" w:rsidR="00541DE7" w:rsidRPr="00590685" w:rsidRDefault="00541DE7" w:rsidP="00672977">
            <w:pPr>
              <w:spacing w:after="0" w:line="240" w:lineRule="auto"/>
              <w:rPr>
                <w:rFonts w:ascii="Arial" w:eastAsia="Times New Roman" w:hAnsi="Arial" w:cs="Arial"/>
                <w:sz w:val="24"/>
                <w:szCs w:val="24"/>
                <w:lang w:eastAsia="en-GB"/>
              </w:rPr>
            </w:pPr>
          </w:p>
          <w:p w14:paraId="6FB2C18F"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7B8786C"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AF0A02D" w14:textId="77777777" w:rsidR="00541DE7" w:rsidRPr="00590685" w:rsidRDefault="00541DE7" w:rsidP="00672977">
            <w:pPr>
              <w:spacing w:after="0" w:line="240" w:lineRule="auto"/>
              <w:rPr>
                <w:rFonts w:ascii="Arial" w:eastAsia="Times New Roman" w:hAnsi="Arial" w:cs="Arial"/>
                <w:sz w:val="24"/>
                <w:szCs w:val="24"/>
                <w:lang w:eastAsia="en-GB"/>
              </w:rPr>
            </w:pPr>
          </w:p>
          <w:p w14:paraId="3C3DA920" w14:textId="77777777" w:rsidR="00541DE7" w:rsidRPr="00590685" w:rsidRDefault="00541DE7" w:rsidP="00672977">
            <w:pPr>
              <w:spacing w:after="0" w:line="240" w:lineRule="auto"/>
              <w:rPr>
                <w:rFonts w:ascii="Arial" w:eastAsia="Times New Roman" w:hAnsi="Arial" w:cs="Arial"/>
                <w:sz w:val="24"/>
                <w:szCs w:val="24"/>
                <w:lang w:eastAsia="en-GB"/>
              </w:rPr>
            </w:pPr>
          </w:p>
          <w:p w14:paraId="248E151B" w14:textId="77777777" w:rsidR="00541DE7" w:rsidRPr="00590685" w:rsidRDefault="00541DE7" w:rsidP="00672977">
            <w:pPr>
              <w:spacing w:after="0" w:line="240" w:lineRule="auto"/>
              <w:rPr>
                <w:rFonts w:ascii="Arial" w:eastAsia="Times New Roman" w:hAnsi="Arial" w:cs="Arial"/>
                <w:sz w:val="24"/>
                <w:szCs w:val="24"/>
                <w:lang w:eastAsia="en-GB"/>
              </w:rPr>
            </w:pPr>
          </w:p>
          <w:p w14:paraId="79CC7689" w14:textId="77777777" w:rsidR="00541DE7" w:rsidRPr="00590685" w:rsidRDefault="00541DE7" w:rsidP="00672977">
            <w:pPr>
              <w:spacing w:after="0" w:line="240" w:lineRule="auto"/>
              <w:rPr>
                <w:rFonts w:ascii="Arial" w:eastAsia="Times New Roman" w:hAnsi="Arial" w:cs="Arial"/>
                <w:sz w:val="24"/>
                <w:szCs w:val="24"/>
                <w:lang w:eastAsia="en-GB"/>
              </w:rPr>
            </w:pPr>
          </w:p>
          <w:p w14:paraId="33EC5BC8" w14:textId="77777777" w:rsidR="00541DE7" w:rsidRPr="00590685" w:rsidRDefault="00541DE7" w:rsidP="00672977">
            <w:pPr>
              <w:spacing w:after="0" w:line="240" w:lineRule="auto"/>
              <w:rPr>
                <w:rFonts w:ascii="Arial" w:eastAsia="Times New Roman" w:hAnsi="Arial" w:cs="Arial"/>
                <w:sz w:val="24"/>
                <w:szCs w:val="24"/>
                <w:lang w:eastAsia="en-GB"/>
              </w:rPr>
            </w:pPr>
          </w:p>
          <w:p w14:paraId="0D89E4CC" w14:textId="77777777" w:rsidR="00541DE7" w:rsidRPr="00590685" w:rsidRDefault="00541DE7" w:rsidP="00672977">
            <w:pPr>
              <w:spacing w:after="0" w:line="240" w:lineRule="auto"/>
              <w:rPr>
                <w:rFonts w:ascii="Arial" w:eastAsia="Times New Roman" w:hAnsi="Arial" w:cs="Arial"/>
                <w:sz w:val="24"/>
                <w:szCs w:val="24"/>
                <w:lang w:eastAsia="en-GB"/>
              </w:rPr>
            </w:pPr>
          </w:p>
          <w:p w14:paraId="7E1B111D" w14:textId="77777777" w:rsidR="00541DE7" w:rsidRPr="00590685" w:rsidRDefault="00541DE7" w:rsidP="00672977">
            <w:pPr>
              <w:spacing w:after="0" w:line="240" w:lineRule="auto"/>
              <w:rPr>
                <w:rFonts w:ascii="Arial" w:eastAsia="Times New Roman" w:hAnsi="Arial" w:cs="Arial"/>
                <w:sz w:val="24"/>
                <w:szCs w:val="24"/>
                <w:lang w:eastAsia="en-GB"/>
              </w:rPr>
            </w:pPr>
          </w:p>
          <w:p w14:paraId="6F6C8FC6" w14:textId="77777777" w:rsidR="00541DE7" w:rsidRPr="00590685" w:rsidRDefault="00541DE7" w:rsidP="00672977">
            <w:pPr>
              <w:spacing w:after="0" w:line="240" w:lineRule="auto"/>
              <w:rPr>
                <w:rFonts w:ascii="Arial" w:eastAsia="Times New Roman" w:hAnsi="Arial" w:cs="Arial"/>
                <w:sz w:val="24"/>
                <w:szCs w:val="24"/>
                <w:lang w:eastAsia="en-GB"/>
              </w:rPr>
            </w:pPr>
          </w:p>
          <w:p w14:paraId="32D4A414" w14:textId="77777777" w:rsidR="00541DE7" w:rsidRPr="00590685" w:rsidRDefault="00541DE7" w:rsidP="00672977">
            <w:pPr>
              <w:spacing w:after="0" w:line="240" w:lineRule="auto"/>
              <w:rPr>
                <w:rFonts w:ascii="Arial" w:eastAsia="Times New Roman" w:hAnsi="Arial" w:cs="Arial"/>
                <w:sz w:val="24"/>
                <w:szCs w:val="24"/>
                <w:lang w:eastAsia="en-GB"/>
              </w:rPr>
            </w:pPr>
          </w:p>
          <w:p w14:paraId="22A76491" w14:textId="77777777" w:rsidR="00541DE7" w:rsidRPr="00590685" w:rsidRDefault="00541DE7" w:rsidP="00672977">
            <w:pPr>
              <w:spacing w:after="0" w:line="240" w:lineRule="auto"/>
              <w:rPr>
                <w:rFonts w:ascii="Arial" w:eastAsia="Times New Roman" w:hAnsi="Arial" w:cs="Arial"/>
                <w:sz w:val="24"/>
                <w:szCs w:val="24"/>
                <w:lang w:eastAsia="en-GB"/>
              </w:rPr>
            </w:pPr>
          </w:p>
          <w:p w14:paraId="0AC9C53A" w14:textId="77777777" w:rsidR="00541DE7" w:rsidRPr="00590685" w:rsidRDefault="00541DE7" w:rsidP="00672977">
            <w:pPr>
              <w:spacing w:after="0" w:line="240" w:lineRule="auto"/>
              <w:rPr>
                <w:rFonts w:ascii="Arial" w:eastAsia="Times New Roman" w:hAnsi="Arial" w:cs="Arial"/>
                <w:sz w:val="24"/>
                <w:szCs w:val="24"/>
                <w:lang w:eastAsia="en-GB"/>
              </w:rPr>
            </w:pPr>
          </w:p>
          <w:p w14:paraId="799FFE89" w14:textId="77777777" w:rsidR="00541DE7" w:rsidRPr="00590685" w:rsidRDefault="00541DE7" w:rsidP="00672977">
            <w:pPr>
              <w:spacing w:after="0" w:line="240" w:lineRule="auto"/>
              <w:rPr>
                <w:rFonts w:ascii="Arial" w:eastAsia="Times New Roman" w:hAnsi="Arial" w:cs="Arial"/>
                <w:sz w:val="24"/>
                <w:szCs w:val="24"/>
                <w:lang w:eastAsia="en-GB"/>
              </w:rPr>
            </w:pPr>
          </w:p>
          <w:p w14:paraId="09F4BE04" w14:textId="77777777" w:rsidR="00541DE7" w:rsidRPr="00590685" w:rsidRDefault="00541DE7" w:rsidP="00672977">
            <w:pPr>
              <w:spacing w:after="0" w:line="240" w:lineRule="auto"/>
              <w:rPr>
                <w:rFonts w:ascii="Arial" w:eastAsia="Times New Roman" w:hAnsi="Arial" w:cs="Arial"/>
                <w:sz w:val="24"/>
                <w:szCs w:val="24"/>
                <w:lang w:eastAsia="en-GB"/>
              </w:rPr>
            </w:pPr>
          </w:p>
          <w:p w14:paraId="0D2A56D4" w14:textId="77777777" w:rsidR="00541DE7" w:rsidRPr="00590685" w:rsidRDefault="00541DE7" w:rsidP="00672977">
            <w:pPr>
              <w:spacing w:after="0" w:line="240" w:lineRule="auto"/>
              <w:rPr>
                <w:rFonts w:ascii="Arial" w:eastAsia="Times New Roman" w:hAnsi="Arial" w:cs="Arial"/>
                <w:sz w:val="24"/>
                <w:szCs w:val="24"/>
                <w:lang w:eastAsia="en-GB"/>
              </w:rPr>
            </w:pPr>
          </w:p>
          <w:p w14:paraId="2C51BF69" w14:textId="77777777" w:rsidR="00541DE7" w:rsidRPr="00590685" w:rsidRDefault="00541DE7" w:rsidP="00672977">
            <w:pPr>
              <w:spacing w:after="0" w:line="240" w:lineRule="auto"/>
              <w:rPr>
                <w:rFonts w:ascii="Arial" w:eastAsia="Times New Roman" w:hAnsi="Arial" w:cs="Arial"/>
                <w:sz w:val="24"/>
                <w:szCs w:val="24"/>
                <w:lang w:eastAsia="en-GB"/>
              </w:rPr>
            </w:pPr>
          </w:p>
          <w:p w14:paraId="5728E20E" w14:textId="77777777" w:rsidR="00541DE7" w:rsidRPr="00590685" w:rsidRDefault="00541DE7" w:rsidP="00672977">
            <w:pPr>
              <w:spacing w:after="0" w:line="240" w:lineRule="auto"/>
              <w:rPr>
                <w:rFonts w:ascii="Arial" w:eastAsia="Times New Roman" w:hAnsi="Arial" w:cs="Arial"/>
                <w:sz w:val="24"/>
                <w:szCs w:val="24"/>
                <w:lang w:eastAsia="en-GB"/>
              </w:rPr>
            </w:pPr>
          </w:p>
          <w:p w14:paraId="567514CB" w14:textId="77777777" w:rsidR="00541DE7" w:rsidRPr="00590685" w:rsidRDefault="00541DE7" w:rsidP="00672977">
            <w:pPr>
              <w:spacing w:after="0" w:line="240" w:lineRule="auto"/>
              <w:rPr>
                <w:rFonts w:ascii="Arial" w:eastAsia="Times New Roman" w:hAnsi="Arial" w:cs="Arial"/>
                <w:sz w:val="24"/>
                <w:szCs w:val="24"/>
                <w:lang w:eastAsia="en-GB"/>
              </w:rPr>
            </w:pPr>
          </w:p>
          <w:p w14:paraId="64AB8430" w14:textId="77777777" w:rsidR="00541DE7" w:rsidRPr="00590685" w:rsidRDefault="00541DE7" w:rsidP="00672977">
            <w:pPr>
              <w:spacing w:after="0" w:line="240" w:lineRule="auto"/>
              <w:rPr>
                <w:rFonts w:ascii="Arial" w:eastAsia="Times New Roman" w:hAnsi="Arial" w:cs="Arial"/>
                <w:sz w:val="24"/>
                <w:szCs w:val="24"/>
                <w:lang w:eastAsia="en-GB"/>
              </w:rPr>
            </w:pPr>
          </w:p>
          <w:p w14:paraId="22FB1A7A" w14:textId="77777777" w:rsidR="00541DE7" w:rsidRPr="00590685" w:rsidRDefault="00541DE7" w:rsidP="00672977">
            <w:pPr>
              <w:spacing w:after="0" w:line="240" w:lineRule="auto"/>
              <w:rPr>
                <w:rFonts w:ascii="Arial" w:eastAsia="Times New Roman" w:hAnsi="Arial" w:cs="Arial"/>
                <w:sz w:val="24"/>
                <w:szCs w:val="24"/>
                <w:lang w:eastAsia="en-GB"/>
              </w:rPr>
            </w:pPr>
          </w:p>
          <w:p w14:paraId="16338986"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522F8CEE" w14:textId="77777777" w:rsidR="00541DE7" w:rsidRPr="00590685" w:rsidRDefault="00541DE7" w:rsidP="00672977">
            <w:pPr>
              <w:spacing w:after="0" w:line="240" w:lineRule="auto"/>
              <w:rPr>
                <w:rFonts w:ascii="Arial" w:eastAsia="Times New Roman" w:hAnsi="Arial" w:cs="Arial"/>
                <w:sz w:val="24"/>
                <w:szCs w:val="24"/>
                <w:lang w:eastAsia="en-GB"/>
              </w:rPr>
            </w:pPr>
          </w:p>
          <w:p w14:paraId="053E6998" w14:textId="77777777" w:rsidR="00541DE7" w:rsidRPr="00590685" w:rsidRDefault="00541DE7" w:rsidP="00672977">
            <w:pPr>
              <w:spacing w:after="0" w:line="240" w:lineRule="auto"/>
              <w:rPr>
                <w:rFonts w:ascii="Arial" w:eastAsia="Times New Roman" w:hAnsi="Arial" w:cs="Arial"/>
                <w:sz w:val="24"/>
                <w:szCs w:val="24"/>
                <w:lang w:eastAsia="en-GB"/>
              </w:rPr>
            </w:pPr>
          </w:p>
          <w:p w14:paraId="4665AB9C" w14:textId="77777777" w:rsidR="00541DE7" w:rsidRPr="00590685" w:rsidRDefault="00541DE7" w:rsidP="00672977">
            <w:pPr>
              <w:spacing w:after="0" w:line="240" w:lineRule="auto"/>
              <w:rPr>
                <w:rFonts w:ascii="Arial" w:eastAsia="Times New Roman" w:hAnsi="Arial" w:cs="Arial"/>
                <w:sz w:val="24"/>
                <w:szCs w:val="24"/>
                <w:lang w:eastAsia="en-GB"/>
              </w:rPr>
            </w:pPr>
          </w:p>
        </w:tc>
      </w:tr>
      <w:tr w:rsidR="00541DE7" w:rsidRPr="00EB38B7" w14:paraId="134C708C" w14:textId="77777777" w:rsidTr="00587EE5">
        <w:trPr>
          <w:cantSplit/>
          <w:trHeight w:hRule="exact" w:val="746"/>
        </w:trPr>
        <w:tc>
          <w:tcPr>
            <w:tcW w:w="2930" w:type="dxa"/>
            <w:tcBorders>
              <w:top w:val="single" w:sz="4" w:space="0" w:color="auto"/>
              <w:left w:val="single" w:sz="4" w:space="0" w:color="auto"/>
              <w:bottom w:val="single" w:sz="4" w:space="0" w:color="auto"/>
              <w:right w:val="single" w:sz="4" w:space="0" w:color="auto"/>
            </w:tcBorders>
            <w:hideMark/>
          </w:tcPr>
          <w:p w14:paraId="400F1E3F" w14:textId="77777777" w:rsidR="00541DE7" w:rsidRPr="00E9073B" w:rsidRDefault="00541DE7" w:rsidP="004B3D3B">
            <w:pPr>
              <w:spacing w:after="0" w:line="240" w:lineRule="auto"/>
              <w:rPr>
                <w:rFonts w:ascii="Arial" w:eastAsia="Times New Roman" w:hAnsi="Arial" w:cs="Arial"/>
                <w:b/>
                <w:bCs/>
                <w:sz w:val="24"/>
                <w:szCs w:val="24"/>
                <w:lang w:eastAsia="en-GB"/>
              </w:rPr>
            </w:pPr>
          </w:p>
          <w:p w14:paraId="1F083A52" w14:textId="77777777" w:rsidR="00541DE7" w:rsidRPr="00E9073B" w:rsidRDefault="00541DE7" w:rsidP="004B3D3B">
            <w:pPr>
              <w:spacing w:after="0" w:line="240" w:lineRule="auto"/>
              <w:rPr>
                <w:rFonts w:ascii="Arial" w:eastAsia="Times New Roman" w:hAnsi="Arial" w:cs="Arial"/>
                <w:b/>
                <w:bCs/>
                <w:color w:val="005EB8"/>
                <w:sz w:val="24"/>
                <w:szCs w:val="24"/>
                <w:lang w:eastAsia="en-GB"/>
              </w:rPr>
            </w:pPr>
            <w:r w:rsidRPr="00E9073B">
              <w:rPr>
                <w:rFonts w:ascii="Arial" w:eastAsia="Times New Roman" w:hAnsi="Arial" w:cs="Arial"/>
                <w:b/>
                <w:bCs/>
                <w:color w:val="005EB8"/>
                <w:sz w:val="24"/>
                <w:szCs w:val="24"/>
                <w:lang w:eastAsia="en-GB"/>
              </w:rPr>
              <w:t>Recommendation:</w:t>
            </w:r>
          </w:p>
          <w:p w14:paraId="19B210B1" w14:textId="77777777" w:rsidR="00541DE7" w:rsidRPr="00E9073B" w:rsidRDefault="00541DE7" w:rsidP="004B3D3B">
            <w:pPr>
              <w:spacing w:after="0" w:line="240" w:lineRule="auto"/>
              <w:rPr>
                <w:rFonts w:ascii="Arial" w:eastAsia="Times New Roman" w:hAnsi="Arial" w:cs="Arial"/>
                <w:b/>
                <w:bCs/>
                <w:sz w:val="24"/>
                <w:szCs w:val="24"/>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5F3712EB" w14:textId="77777777" w:rsidR="00957842"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sz w:val="24"/>
                <w:szCs w:val="24"/>
                <w:lang w:eastAsia="en-GB"/>
              </w:rPr>
              <w:t xml:space="preserve"> </w:t>
            </w:r>
          </w:p>
          <w:p w14:paraId="5EDD992F" w14:textId="77777777" w:rsidR="00541DE7" w:rsidRPr="00B12B93"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bCs/>
                <w:lang w:eastAsia="en-GB"/>
              </w:rPr>
              <w:t>The committee are asked to note the information within this report.</w:t>
            </w:r>
          </w:p>
          <w:p w14:paraId="764A9BC7" w14:textId="77777777" w:rsidR="00541DE7" w:rsidRPr="00B12B93" w:rsidRDefault="00541DE7" w:rsidP="004B3D3B">
            <w:pPr>
              <w:spacing w:after="0" w:line="240" w:lineRule="auto"/>
              <w:rPr>
                <w:rFonts w:ascii="Arial" w:eastAsia="Times New Roman" w:hAnsi="Arial" w:cs="Arial"/>
                <w:sz w:val="24"/>
                <w:szCs w:val="24"/>
                <w:lang w:eastAsia="en-GB"/>
              </w:rPr>
            </w:pPr>
          </w:p>
          <w:p w14:paraId="27471D3A" w14:textId="77777777" w:rsidR="00541DE7" w:rsidRPr="00B12B93" w:rsidRDefault="00541DE7" w:rsidP="004B3D3B">
            <w:pPr>
              <w:spacing w:after="0" w:line="240" w:lineRule="auto"/>
              <w:rPr>
                <w:rFonts w:ascii="Arial" w:eastAsia="Times New Roman" w:hAnsi="Arial" w:cs="Arial"/>
                <w:sz w:val="24"/>
                <w:szCs w:val="24"/>
                <w:lang w:eastAsia="en-GB"/>
              </w:rPr>
            </w:pPr>
          </w:p>
          <w:p w14:paraId="6E38FE54" w14:textId="77777777" w:rsidR="00541DE7" w:rsidRPr="00B12B93" w:rsidRDefault="00541DE7" w:rsidP="004B3D3B">
            <w:pPr>
              <w:spacing w:after="0" w:line="240" w:lineRule="auto"/>
              <w:rPr>
                <w:rFonts w:ascii="Arial" w:eastAsia="Times New Roman" w:hAnsi="Arial" w:cs="Arial"/>
                <w:sz w:val="24"/>
                <w:szCs w:val="24"/>
                <w:lang w:eastAsia="en-GB"/>
              </w:rPr>
            </w:pPr>
          </w:p>
          <w:p w14:paraId="1B81C891" w14:textId="77777777" w:rsidR="00541DE7" w:rsidRPr="00B12B93" w:rsidRDefault="00541DE7" w:rsidP="004B3D3B">
            <w:pPr>
              <w:spacing w:after="0" w:line="240" w:lineRule="auto"/>
              <w:rPr>
                <w:rFonts w:ascii="Arial" w:eastAsia="Times New Roman" w:hAnsi="Arial" w:cs="Arial"/>
                <w:sz w:val="24"/>
                <w:szCs w:val="24"/>
                <w:lang w:eastAsia="en-GB"/>
              </w:rPr>
            </w:pPr>
          </w:p>
          <w:p w14:paraId="5CF81374" w14:textId="77777777" w:rsidR="00541DE7" w:rsidRPr="00B12B93" w:rsidRDefault="00541DE7" w:rsidP="004B3D3B">
            <w:pPr>
              <w:spacing w:after="0" w:line="240" w:lineRule="auto"/>
              <w:rPr>
                <w:rFonts w:ascii="Arial" w:eastAsia="Times New Roman" w:hAnsi="Arial" w:cs="Arial"/>
                <w:sz w:val="24"/>
                <w:szCs w:val="24"/>
                <w:lang w:eastAsia="en-GB"/>
              </w:rPr>
            </w:pPr>
          </w:p>
          <w:p w14:paraId="340F2C7F" w14:textId="77777777" w:rsidR="00541DE7" w:rsidRPr="00B12B93" w:rsidRDefault="00541DE7" w:rsidP="004B3D3B">
            <w:pPr>
              <w:spacing w:after="0" w:line="240" w:lineRule="auto"/>
              <w:rPr>
                <w:rFonts w:ascii="Arial" w:eastAsia="Times New Roman" w:hAnsi="Arial" w:cs="Arial"/>
                <w:sz w:val="24"/>
                <w:szCs w:val="24"/>
                <w:lang w:eastAsia="en-GB"/>
              </w:rPr>
            </w:pPr>
          </w:p>
          <w:p w14:paraId="452AD86E" w14:textId="77777777" w:rsidR="00541DE7" w:rsidRPr="00B12B93" w:rsidRDefault="00541DE7" w:rsidP="004B3D3B">
            <w:pPr>
              <w:spacing w:after="0" w:line="240" w:lineRule="auto"/>
              <w:rPr>
                <w:rFonts w:ascii="Arial" w:eastAsia="Times New Roman" w:hAnsi="Arial" w:cs="Arial"/>
                <w:sz w:val="24"/>
                <w:szCs w:val="24"/>
                <w:lang w:eastAsia="en-GB"/>
              </w:rPr>
            </w:pPr>
          </w:p>
          <w:p w14:paraId="17BDDB11" w14:textId="77777777" w:rsidR="00541DE7" w:rsidRPr="00B12B93" w:rsidRDefault="00541DE7" w:rsidP="004B3D3B">
            <w:pPr>
              <w:spacing w:after="0" w:line="240" w:lineRule="auto"/>
              <w:rPr>
                <w:rFonts w:ascii="Arial" w:eastAsia="Times New Roman" w:hAnsi="Arial" w:cs="Arial"/>
                <w:sz w:val="24"/>
                <w:szCs w:val="24"/>
                <w:lang w:eastAsia="en-GB"/>
              </w:rPr>
            </w:pPr>
          </w:p>
          <w:p w14:paraId="6989CC40" w14:textId="77777777" w:rsidR="00541DE7" w:rsidRPr="00B12B93" w:rsidRDefault="00541DE7" w:rsidP="004B3D3B">
            <w:pPr>
              <w:spacing w:after="0" w:line="240" w:lineRule="auto"/>
              <w:rPr>
                <w:rFonts w:ascii="Arial" w:eastAsia="Times New Roman" w:hAnsi="Arial" w:cs="Arial"/>
                <w:sz w:val="24"/>
                <w:szCs w:val="24"/>
                <w:lang w:eastAsia="en-GB"/>
              </w:rPr>
            </w:pPr>
          </w:p>
          <w:p w14:paraId="666DB27A" w14:textId="77777777" w:rsidR="00541DE7" w:rsidRPr="00B12B93" w:rsidRDefault="00541DE7" w:rsidP="004B3D3B">
            <w:pPr>
              <w:spacing w:after="0" w:line="240" w:lineRule="auto"/>
              <w:rPr>
                <w:rFonts w:ascii="Arial" w:eastAsia="Times New Roman" w:hAnsi="Arial" w:cs="Arial"/>
                <w:sz w:val="24"/>
                <w:szCs w:val="24"/>
                <w:lang w:eastAsia="en-GB"/>
              </w:rPr>
            </w:pPr>
          </w:p>
          <w:p w14:paraId="1964DC7F" w14:textId="77777777" w:rsidR="00541DE7" w:rsidRPr="00B12B93" w:rsidRDefault="00541DE7" w:rsidP="004B3D3B">
            <w:pPr>
              <w:spacing w:after="0" w:line="240" w:lineRule="auto"/>
              <w:rPr>
                <w:rFonts w:ascii="Arial" w:eastAsia="Times New Roman" w:hAnsi="Arial" w:cs="Arial"/>
                <w:sz w:val="24"/>
                <w:szCs w:val="24"/>
                <w:lang w:eastAsia="en-GB"/>
              </w:rPr>
            </w:pPr>
          </w:p>
          <w:p w14:paraId="4D6BB65F" w14:textId="77777777" w:rsidR="00541DE7" w:rsidRPr="00B12B93" w:rsidRDefault="00541DE7" w:rsidP="004B3D3B">
            <w:pPr>
              <w:spacing w:after="0" w:line="240" w:lineRule="auto"/>
              <w:rPr>
                <w:rFonts w:ascii="Arial" w:eastAsia="Times New Roman" w:hAnsi="Arial" w:cs="Arial"/>
                <w:sz w:val="24"/>
                <w:szCs w:val="24"/>
                <w:lang w:eastAsia="en-GB"/>
              </w:rPr>
            </w:pPr>
          </w:p>
          <w:p w14:paraId="38404A3B" w14:textId="77777777" w:rsidR="00541DE7" w:rsidRPr="00B12B93" w:rsidRDefault="00541DE7" w:rsidP="004B3D3B">
            <w:pPr>
              <w:spacing w:after="0" w:line="240" w:lineRule="auto"/>
              <w:rPr>
                <w:rFonts w:ascii="Arial" w:eastAsia="Times New Roman" w:hAnsi="Arial" w:cs="Arial"/>
                <w:sz w:val="24"/>
                <w:szCs w:val="24"/>
                <w:lang w:eastAsia="en-GB"/>
              </w:rPr>
            </w:pPr>
          </w:p>
          <w:p w14:paraId="156C8C9B" w14:textId="77777777" w:rsidR="00541DE7" w:rsidRPr="00B12B93" w:rsidRDefault="00541DE7" w:rsidP="004B3D3B">
            <w:pPr>
              <w:spacing w:after="0" w:line="240" w:lineRule="auto"/>
              <w:rPr>
                <w:rFonts w:ascii="Arial" w:eastAsia="Times New Roman" w:hAnsi="Arial" w:cs="Arial"/>
                <w:sz w:val="24"/>
                <w:szCs w:val="24"/>
                <w:lang w:eastAsia="en-GB"/>
              </w:rPr>
            </w:pPr>
          </w:p>
          <w:p w14:paraId="005AE19E" w14:textId="77777777" w:rsidR="00541DE7" w:rsidRPr="00B12B93" w:rsidRDefault="00541DE7" w:rsidP="004B3D3B">
            <w:pPr>
              <w:spacing w:after="0" w:line="240" w:lineRule="auto"/>
              <w:rPr>
                <w:rFonts w:ascii="Arial" w:eastAsia="Times New Roman" w:hAnsi="Arial" w:cs="Arial"/>
                <w:sz w:val="24"/>
                <w:szCs w:val="24"/>
                <w:lang w:eastAsia="en-GB"/>
              </w:rPr>
            </w:pPr>
          </w:p>
          <w:p w14:paraId="398E0C91" w14:textId="77777777" w:rsidR="00541DE7" w:rsidRPr="00B12B93" w:rsidRDefault="00541DE7" w:rsidP="004B3D3B">
            <w:pPr>
              <w:spacing w:after="0" w:line="240" w:lineRule="auto"/>
              <w:rPr>
                <w:rFonts w:ascii="Arial" w:eastAsia="Times New Roman" w:hAnsi="Arial" w:cs="Arial"/>
                <w:sz w:val="24"/>
                <w:szCs w:val="24"/>
                <w:lang w:eastAsia="en-GB"/>
              </w:rPr>
            </w:pPr>
          </w:p>
          <w:p w14:paraId="1984E9ED" w14:textId="77777777" w:rsidR="00541DE7" w:rsidRPr="00B12B93" w:rsidRDefault="00541DE7" w:rsidP="004B3D3B">
            <w:pPr>
              <w:spacing w:after="0" w:line="240" w:lineRule="auto"/>
              <w:rPr>
                <w:rFonts w:ascii="Arial" w:eastAsia="Times New Roman" w:hAnsi="Arial" w:cs="Arial"/>
                <w:sz w:val="24"/>
                <w:szCs w:val="24"/>
                <w:lang w:eastAsia="en-GB"/>
              </w:rPr>
            </w:pPr>
          </w:p>
          <w:p w14:paraId="1B0EE365" w14:textId="77777777" w:rsidR="00541DE7" w:rsidRPr="00B12B93" w:rsidRDefault="00541DE7" w:rsidP="004B3D3B">
            <w:pPr>
              <w:spacing w:after="0" w:line="240" w:lineRule="auto"/>
              <w:rPr>
                <w:rFonts w:ascii="Arial" w:eastAsia="Times New Roman" w:hAnsi="Arial" w:cs="Arial"/>
                <w:sz w:val="24"/>
                <w:szCs w:val="24"/>
                <w:lang w:eastAsia="en-GB"/>
              </w:rPr>
            </w:pPr>
          </w:p>
          <w:p w14:paraId="2536594F" w14:textId="77777777" w:rsidR="00541DE7" w:rsidRPr="00B12B93" w:rsidRDefault="00541DE7" w:rsidP="004B3D3B">
            <w:pPr>
              <w:spacing w:after="0" w:line="240" w:lineRule="auto"/>
              <w:rPr>
                <w:rFonts w:ascii="Arial" w:eastAsia="Times New Roman" w:hAnsi="Arial" w:cs="Arial"/>
                <w:sz w:val="24"/>
                <w:szCs w:val="24"/>
                <w:lang w:eastAsia="en-GB"/>
              </w:rPr>
            </w:pPr>
          </w:p>
          <w:p w14:paraId="310CE758" w14:textId="77777777" w:rsidR="00541DE7" w:rsidRPr="00B12B93" w:rsidRDefault="00541DE7" w:rsidP="004B3D3B">
            <w:pPr>
              <w:spacing w:after="0" w:line="240" w:lineRule="auto"/>
              <w:rPr>
                <w:rFonts w:ascii="Arial" w:eastAsia="Times New Roman" w:hAnsi="Arial" w:cs="Arial"/>
                <w:sz w:val="24"/>
                <w:szCs w:val="24"/>
                <w:lang w:eastAsia="en-GB"/>
              </w:rPr>
            </w:pPr>
          </w:p>
          <w:p w14:paraId="5713E4EC" w14:textId="77777777" w:rsidR="00541DE7" w:rsidRPr="00B12B93" w:rsidRDefault="00541DE7" w:rsidP="004B3D3B">
            <w:pPr>
              <w:spacing w:after="0" w:line="240" w:lineRule="auto"/>
              <w:rPr>
                <w:rFonts w:ascii="Arial" w:eastAsia="Times New Roman" w:hAnsi="Arial" w:cs="Arial"/>
                <w:sz w:val="24"/>
                <w:szCs w:val="24"/>
                <w:lang w:eastAsia="en-GB"/>
              </w:rPr>
            </w:pPr>
          </w:p>
          <w:p w14:paraId="3142164A" w14:textId="77777777" w:rsidR="00541DE7" w:rsidRPr="00B12B93" w:rsidRDefault="00541DE7" w:rsidP="004B3D3B">
            <w:pPr>
              <w:spacing w:after="0" w:line="240" w:lineRule="auto"/>
              <w:rPr>
                <w:rFonts w:ascii="Arial" w:eastAsia="Times New Roman" w:hAnsi="Arial" w:cs="Arial"/>
                <w:sz w:val="24"/>
                <w:szCs w:val="24"/>
                <w:lang w:eastAsia="en-GB"/>
              </w:rPr>
            </w:pPr>
          </w:p>
          <w:p w14:paraId="4F5DE594" w14:textId="77777777" w:rsidR="00541DE7" w:rsidRPr="00B12B93" w:rsidRDefault="00541DE7" w:rsidP="004B3D3B">
            <w:pPr>
              <w:spacing w:after="0" w:line="240" w:lineRule="auto"/>
              <w:rPr>
                <w:rFonts w:ascii="Arial" w:eastAsia="Times New Roman" w:hAnsi="Arial" w:cs="Arial"/>
                <w:sz w:val="24"/>
                <w:szCs w:val="24"/>
                <w:lang w:eastAsia="en-GB"/>
              </w:rPr>
            </w:pPr>
          </w:p>
          <w:p w14:paraId="603D50A8" w14:textId="77777777" w:rsidR="00541DE7" w:rsidRPr="00B12B93" w:rsidRDefault="00541DE7" w:rsidP="004B3D3B">
            <w:pPr>
              <w:spacing w:after="0" w:line="240" w:lineRule="auto"/>
              <w:rPr>
                <w:rFonts w:ascii="Arial" w:eastAsia="Times New Roman" w:hAnsi="Arial" w:cs="Arial"/>
                <w:sz w:val="24"/>
                <w:szCs w:val="24"/>
                <w:lang w:eastAsia="en-GB"/>
              </w:rPr>
            </w:pPr>
          </w:p>
          <w:p w14:paraId="2B4C1A78" w14:textId="77777777" w:rsidR="00541DE7" w:rsidRPr="00B12B93" w:rsidRDefault="00541DE7" w:rsidP="004B3D3B">
            <w:pPr>
              <w:spacing w:after="0" w:line="240" w:lineRule="auto"/>
              <w:rPr>
                <w:rFonts w:ascii="Arial" w:eastAsia="Times New Roman" w:hAnsi="Arial" w:cs="Arial"/>
                <w:sz w:val="24"/>
                <w:szCs w:val="24"/>
                <w:lang w:eastAsia="en-GB"/>
              </w:rPr>
            </w:pPr>
          </w:p>
          <w:p w14:paraId="21A0347A" w14:textId="77777777" w:rsidR="00541DE7" w:rsidRPr="00B12B93" w:rsidRDefault="00541DE7" w:rsidP="004B3D3B">
            <w:pPr>
              <w:spacing w:after="0" w:line="240" w:lineRule="auto"/>
              <w:rPr>
                <w:rFonts w:ascii="Arial" w:eastAsia="Times New Roman" w:hAnsi="Arial" w:cs="Arial"/>
                <w:sz w:val="24"/>
                <w:szCs w:val="24"/>
                <w:lang w:eastAsia="en-GB"/>
              </w:rPr>
            </w:pPr>
          </w:p>
          <w:p w14:paraId="1A09FFB8" w14:textId="77777777" w:rsidR="00541DE7" w:rsidRPr="00B12B93" w:rsidRDefault="00541DE7" w:rsidP="004B3D3B">
            <w:pPr>
              <w:spacing w:after="0" w:line="240" w:lineRule="auto"/>
              <w:rPr>
                <w:rFonts w:ascii="Arial" w:eastAsia="Times New Roman" w:hAnsi="Arial" w:cs="Arial"/>
                <w:sz w:val="24"/>
                <w:szCs w:val="24"/>
                <w:lang w:eastAsia="en-GB"/>
              </w:rPr>
            </w:pPr>
          </w:p>
          <w:p w14:paraId="0CA3EFB1" w14:textId="77777777" w:rsidR="00541DE7" w:rsidRPr="00B12B93" w:rsidRDefault="00541DE7" w:rsidP="004B3D3B">
            <w:pPr>
              <w:spacing w:after="0" w:line="240" w:lineRule="auto"/>
              <w:rPr>
                <w:rFonts w:ascii="Arial" w:eastAsia="Times New Roman" w:hAnsi="Arial" w:cs="Arial"/>
                <w:sz w:val="24"/>
                <w:szCs w:val="24"/>
                <w:lang w:eastAsia="en-GB"/>
              </w:rPr>
            </w:pPr>
          </w:p>
          <w:p w14:paraId="082F1579" w14:textId="77777777" w:rsidR="00541DE7" w:rsidRPr="00B12B93" w:rsidRDefault="00541DE7" w:rsidP="004B3D3B">
            <w:pPr>
              <w:spacing w:after="0" w:line="240" w:lineRule="auto"/>
              <w:rPr>
                <w:rFonts w:ascii="Arial" w:eastAsia="Times New Roman" w:hAnsi="Arial" w:cs="Arial"/>
                <w:sz w:val="24"/>
                <w:szCs w:val="24"/>
                <w:lang w:eastAsia="en-GB"/>
              </w:rPr>
            </w:pPr>
          </w:p>
          <w:p w14:paraId="115770F7" w14:textId="77777777" w:rsidR="00541DE7" w:rsidRPr="00B12B93" w:rsidRDefault="00541DE7" w:rsidP="004B3D3B">
            <w:pPr>
              <w:spacing w:after="0" w:line="240" w:lineRule="auto"/>
              <w:rPr>
                <w:rFonts w:ascii="Arial" w:eastAsia="Times New Roman" w:hAnsi="Arial" w:cs="Arial"/>
                <w:sz w:val="24"/>
                <w:szCs w:val="24"/>
                <w:lang w:eastAsia="en-GB"/>
              </w:rPr>
            </w:pPr>
          </w:p>
          <w:p w14:paraId="62957B6F" w14:textId="77777777" w:rsidR="00541DE7" w:rsidRPr="00B12B93" w:rsidRDefault="00541DE7" w:rsidP="004B3D3B">
            <w:pPr>
              <w:spacing w:after="0" w:line="240" w:lineRule="auto"/>
              <w:rPr>
                <w:rFonts w:ascii="Arial" w:eastAsia="Times New Roman" w:hAnsi="Arial" w:cs="Arial"/>
                <w:sz w:val="24"/>
                <w:szCs w:val="24"/>
                <w:lang w:eastAsia="en-GB"/>
              </w:rPr>
            </w:pPr>
          </w:p>
          <w:p w14:paraId="1BAD4B03" w14:textId="77777777" w:rsidR="00541DE7" w:rsidRPr="00B12B93" w:rsidRDefault="00541DE7" w:rsidP="004B3D3B">
            <w:pPr>
              <w:spacing w:after="0" w:line="240" w:lineRule="auto"/>
              <w:rPr>
                <w:rFonts w:ascii="Arial" w:eastAsia="Times New Roman" w:hAnsi="Arial" w:cs="Arial"/>
                <w:sz w:val="24"/>
                <w:szCs w:val="24"/>
                <w:lang w:eastAsia="en-GB"/>
              </w:rPr>
            </w:pPr>
          </w:p>
          <w:p w14:paraId="622364F7" w14:textId="77777777" w:rsidR="00541DE7" w:rsidRPr="00B12B93" w:rsidRDefault="00541DE7" w:rsidP="004B3D3B">
            <w:pPr>
              <w:spacing w:after="0" w:line="240" w:lineRule="auto"/>
              <w:rPr>
                <w:rFonts w:ascii="Arial" w:eastAsia="Times New Roman" w:hAnsi="Arial" w:cs="Arial"/>
                <w:sz w:val="24"/>
                <w:szCs w:val="24"/>
                <w:lang w:eastAsia="en-GB"/>
              </w:rPr>
            </w:pPr>
          </w:p>
          <w:p w14:paraId="02E53E63" w14:textId="77777777" w:rsidR="00541DE7" w:rsidRPr="00B12B93" w:rsidRDefault="00541DE7" w:rsidP="004B3D3B">
            <w:pPr>
              <w:spacing w:after="0" w:line="240" w:lineRule="auto"/>
              <w:rPr>
                <w:rFonts w:ascii="Arial" w:eastAsia="Times New Roman" w:hAnsi="Arial" w:cs="Arial"/>
                <w:sz w:val="24"/>
                <w:szCs w:val="24"/>
                <w:lang w:eastAsia="en-GB"/>
              </w:rPr>
            </w:pPr>
          </w:p>
          <w:p w14:paraId="2F970999" w14:textId="77777777" w:rsidR="00541DE7" w:rsidRPr="00B12B93" w:rsidRDefault="00541DE7" w:rsidP="004B3D3B">
            <w:pPr>
              <w:spacing w:after="0" w:line="240" w:lineRule="auto"/>
              <w:rPr>
                <w:rFonts w:ascii="Arial" w:eastAsia="Times New Roman" w:hAnsi="Arial" w:cs="Arial"/>
                <w:sz w:val="24"/>
                <w:szCs w:val="24"/>
                <w:lang w:eastAsia="en-GB"/>
              </w:rPr>
            </w:pPr>
          </w:p>
          <w:p w14:paraId="5057FDD0" w14:textId="77777777" w:rsidR="00541DE7" w:rsidRPr="00B12B93" w:rsidRDefault="00541DE7" w:rsidP="004B3D3B">
            <w:pPr>
              <w:spacing w:after="0" w:line="240" w:lineRule="auto"/>
              <w:rPr>
                <w:rFonts w:ascii="Arial" w:eastAsia="Times New Roman" w:hAnsi="Arial" w:cs="Arial"/>
                <w:sz w:val="24"/>
                <w:szCs w:val="24"/>
                <w:lang w:eastAsia="en-GB"/>
              </w:rPr>
            </w:pPr>
          </w:p>
          <w:p w14:paraId="5AB0ED20" w14:textId="77777777" w:rsidR="00541DE7" w:rsidRPr="00B12B93" w:rsidRDefault="00541DE7" w:rsidP="004B3D3B">
            <w:pPr>
              <w:spacing w:after="0" w:line="240" w:lineRule="auto"/>
              <w:rPr>
                <w:rFonts w:ascii="Arial" w:eastAsia="Times New Roman" w:hAnsi="Arial" w:cs="Arial"/>
                <w:sz w:val="24"/>
                <w:szCs w:val="24"/>
                <w:lang w:eastAsia="en-GB"/>
              </w:rPr>
            </w:pPr>
          </w:p>
          <w:p w14:paraId="5085D94A" w14:textId="77777777" w:rsidR="00541DE7" w:rsidRPr="00B12B93" w:rsidRDefault="00541DE7" w:rsidP="004B3D3B">
            <w:pPr>
              <w:spacing w:after="0" w:line="240" w:lineRule="auto"/>
              <w:rPr>
                <w:rFonts w:ascii="Arial" w:eastAsia="Times New Roman" w:hAnsi="Arial" w:cs="Arial"/>
                <w:sz w:val="24"/>
                <w:szCs w:val="24"/>
                <w:lang w:eastAsia="en-GB"/>
              </w:rPr>
            </w:pPr>
          </w:p>
          <w:p w14:paraId="39EDBE9B" w14:textId="77777777" w:rsidR="00541DE7" w:rsidRPr="00B12B93" w:rsidRDefault="00541DE7" w:rsidP="004B3D3B">
            <w:pPr>
              <w:spacing w:after="0" w:line="240" w:lineRule="auto"/>
              <w:rPr>
                <w:rFonts w:ascii="Arial" w:eastAsia="Times New Roman" w:hAnsi="Arial" w:cs="Arial"/>
                <w:sz w:val="24"/>
                <w:szCs w:val="24"/>
                <w:lang w:eastAsia="en-GB"/>
              </w:rPr>
            </w:pPr>
          </w:p>
          <w:p w14:paraId="70B6082A" w14:textId="77777777" w:rsidR="00541DE7" w:rsidRPr="00B12B93" w:rsidRDefault="00541DE7" w:rsidP="004B3D3B">
            <w:pPr>
              <w:spacing w:after="0" w:line="240" w:lineRule="auto"/>
              <w:rPr>
                <w:rFonts w:ascii="Arial" w:eastAsia="Times New Roman" w:hAnsi="Arial" w:cs="Arial"/>
                <w:sz w:val="24"/>
                <w:szCs w:val="24"/>
                <w:lang w:eastAsia="en-GB"/>
              </w:rPr>
            </w:pPr>
          </w:p>
          <w:p w14:paraId="12641485" w14:textId="77777777" w:rsidR="00541DE7" w:rsidRPr="00B12B93" w:rsidRDefault="00541DE7" w:rsidP="004B3D3B">
            <w:pPr>
              <w:spacing w:after="0" w:line="240" w:lineRule="auto"/>
              <w:rPr>
                <w:rFonts w:ascii="Arial" w:eastAsia="Times New Roman" w:hAnsi="Arial" w:cs="Arial"/>
                <w:sz w:val="24"/>
                <w:szCs w:val="24"/>
                <w:lang w:eastAsia="en-GB"/>
              </w:rPr>
            </w:pPr>
          </w:p>
          <w:p w14:paraId="2473DD1A" w14:textId="77777777" w:rsidR="00541DE7" w:rsidRPr="00B12B93" w:rsidRDefault="00541DE7" w:rsidP="004B3D3B">
            <w:pPr>
              <w:spacing w:after="0" w:line="240" w:lineRule="auto"/>
              <w:rPr>
                <w:rFonts w:ascii="Arial" w:eastAsia="Times New Roman" w:hAnsi="Arial" w:cs="Arial"/>
                <w:sz w:val="24"/>
                <w:szCs w:val="24"/>
                <w:lang w:eastAsia="en-GB"/>
              </w:rPr>
            </w:pPr>
          </w:p>
          <w:p w14:paraId="0BF5FD6C" w14:textId="77777777" w:rsidR="00541DE7" w:rsidRPr="00B12B93" w:rsidRDefault="00541DE7" w:rsidP="004B3D3B">
            <w:pPr>
              <w:spacing w:after="0" w:line="240" w:lineRule="auto"/>
              <w:rPr>
                <w:rFonts w:ascii="Arial" w:eastAsia="Times New Roman" w:hAnsi="Arial" w:cs="Arial"/>
                <w:sz w:val="24"/>
                <w:szCs w:val="24"/>
                <w:lang w:eastAsia="en-GB"/>
              </w:rPr>
            </w:pPr>
          </w:p>
          <w:p w14:paraId="7707DCF1" w14:textId="77777777" w:rsidR="00541DE7" w:rsidRPr="00B12B93" w:rsidRDefault="00541DE7" w:rsidP="004B3D3B">
            <w:pPr>
              <w:spacing w:after="0" w:line="240" w:lineRule="auto"/>
              <w:rPr>
                <w:rFonts w:ascii="Arial" w:eastAsia="Times New Roman" w:hAnsi="Arial" w:cs="Arial"/>
                <w:sz w:val="24"/>
                <w:szCs w:val="24"/>
                <w:lang w:eastAsia="en-GB"/>
              </w:rPr>
            </w:pPr>
          </w:p>
          <w:p w14:paraId="03B3F90C" w14:textId="77777777" w:rsidR="00541DE7" w:rsidRPr="00B12B93" w:rsidRDefault="00541DE7" w:rsidP="004B3D3B">
            <w:pPr>
              <w:spacing w:after="0" w:line="240" w:lineRule="auto"/>
              <w:rPr>
                <w:rFonts w:ascii="Arial" w:eastAsia="Times New Roman" w:hAnsi="Arial" w:cs="Arial"/>
                <w:sz w:val="24"/>
                <w:szCs w:val="24"/>
                <w:lang w:eastAsia="en-GB"/>
              </w:rPr>
            </w:pPr>
          </w:p>
          <w:p w14:paraId="2A65FFA0" w14:textId="77777777" w:rsidR="00541DE7" w:rsidRPr="00B12B93" w:rsidRDefault="00541DE7" w:rsidP="004B3D3B">
            <w:pPr>
              <w:spacing w:after="0" w:line="240" w:lineRule="auto"/>
              <w:rPr>
                <w:rFonts w:ascii="Arial" w:eastAsia="Times New Roman" w:hAnsi="Arial" w:cs="Arial"/>
                <w:sz w:val="24"/>
                <w:szCs w:val="24"/>
                <w:lang w:eastAsia="en-GB"/>
              </w:rPr>
            </w:pPr>
          </w:p>
          <w:p w14:paraId="260C74CB" w14:textId="77777777" w:rsidR="00541DE7" w:rsidRPr="00B12B93" w:rsidRDefault="00541DE7" w:rsidP="004B3D3B">
            <w:pPr>
              <w:spacing w:after="0" w:line="240" w:lineRule="auto"/>
              <w:rPr>
                <w:rFonts w:ascii="Arial" w:eastAsia="Times New Roman" w:hAnsi="Arial" w:cs="Arial"/>
                <w:sz w:val="24"/>
                <w:szCs w:val="24"/>
                <w:lang w:eastAsia="en-GB"/>
              </w:rPr>
            </w:pPr>
          </w:p>
          <w:p w14:paraId="46E95727" w14:textId="77777777" w:rsidR="00541DE7" w:rsidRPr="00B12B93" w:rsidRDefault="00541DE7" w:rsidP="004B3D3B">
            <w:pPr>
              <w:spacing w:after="0" w:line="240" w:lineRule="auto"/>
              <w:rPr>
                <w:rFonts w:ascii="Arial" w:eastAsia="Times New Roman" w:hAnsi="Arial" w:cs="Arial"/>
                <w:sz w:val="24"/>
                <w:szCs w:val="24"/>
                <w:lang w:eastAsia="en-GB"/>
              </w:rPr>
            </w:pPr>
          </w:p>
          <w:p w14:paraId="00C150FB" w14:textId="77777777" w:rsidR="00541DE7" w:rsidRPr="00B12B93" w:rsidRDefault="00541DE7" w:rsidP="004B3D3B">
            <w:pPr>
              <w:spacing w:after="0" w:line="240" w:lineRule="auto"/>
              <w:rPr>
                <w:rFonts w:ascii="Arial" w:eastAsia="Times New Roman" w:hAnsi="Arial" w:cs="Arial"/>
                <w:sz w:val="24"/>
                <w:szCs w:val="24"/>
                <w:lang w:eastAsia="en-GB"/>
              </w:rPr>
            </w:pPr>
          </w:p>
        </w:tc>
      </w:tr>
      <w:tr w:rsidR="00541DE7" w:rsidRPr="00EB38B7" w14:paraId="1D784FE6" w14:textId="77777777" w:rsidTr="00587EE5">
        <w:trPr>
          <w:cantSplit/>
          <w:trHeight w:val="926"/>
        </w:trPr>
        <w:tc>
          <w:tcPr>
            <w:tcW w:w="2930" w:type="dxa"/>
            <w:vMerge w:val="restart"/>
            <w:tcBorders>
              <w:top w:val="single" w:sz="4" w:space="0" w:color="auto"/>
              <w:left w:val="single" w:sz="4" w:space="0" w:color="auto"/>
              <w:right w:val="single" w:sz="4" w:space="0" w:color="auto"/>
            </w:tcBorders>
            <w:hideMark/>
          </w:tcPr>
          <w:p w14:paraId="768669A6" w14:textId="77777777" w:rsidR="00541DE7" w:rsidRPr="00EB38B7" w:rsidRDefault="00541DE7" w:rsidP="004B3D3B">
            <w:pPr>
              <w:spacing w:after="0" w:line="240" w:lineRule="auto"/>
              <w:rPr>
                <w:rFonts w:ascii="Arial" w:eastAsia="Times New Roman" w:hAnsi="Arial" w:cs="Arial"/>
                <w:b/>
                <w:bCs/>
                <w:sz w:val="14"/>
                <w:szCs w:val="14"/>
                <w:lang w:eastAsia="en-GB"/>
              </w:rPr>
            </w:pPr>
          </w:p>
          <w:p w14:paraId="1D8FF2E4" w14:textId="77777777" w:rsidR="00541DE7" w:rsidRPr="00E9073B" w:rsidRDefault="00541DE7" w:rsidP="004B3D3B">
            <w:pPr>
              <w:spacing w:after="0" w:line="240" w:lineRule="auto"/>
              <w:rPr>
                <w:rFonts w:ascii="Arial" w:eastAsia="Times New Roman" w:hAnsi="Arial" w:cs="Arial"/>
                <w:bCs/>
                <w:i/>
                <w:sz w:val="24"/>
                <w:szCs w:val="24"/>
                <w:lang w:eastAsia="en-GB"/>
              </w:rPr>
            </w:pPr>
            <w:r w:rsidRPr="00E9073B">
              <w:rPr>
                <w:rFonts w:ascii="Arial" w:eastAsia="Times New Roman" w:hAnsi="Arial" w:cs="Arial"/>
                <w:b/>
                <w:bCs/>
                <w:color w:val="005EB8"/>
                <w:sz w:val="24"/>
                <w:szCs w:val="24"/>
                <w:lang w:eastAsia="en-GB"/>
              </w:rPr>
              <w:t xml:space="preserve">Trust strategic objectives: </w:t>
            </w:r>
          </w:p>
        </w:tc>
        <w:tc>
          <w:tcPr>
            <w:tcW w:w="1376" w:type="dxa"/>
            <w:tcBorders>
              <w:top w:val="single" w:sz="4" w:space="0" w:color="auto"/>
              <w:left w:val="single" w:sz="4" w:space="0" w:color="auto"/>
              <w:bottom w:val="single" w:sz="4" w:space="0" w:color="auto"/>
              <w:right w:val="single" w:sz="4" w:space="0" w:color="auto"/>
            </w:tcBorders>
          </w:tcPr>
          <w:p w14:paraId="3665CE26" w14:textId="77777777" w:rsidR="00541DE7" w:rsidRPr="00B12B93" w:rsidRDefault="00541DE7" w:rsidP="00587EE5">
            <w:pPr>
              <w:contextualSpacing/>
              <w:jc w:val="center"/>
              <w:rPr>
                <w:rFonts w:ascii="Arial" w:eastAsia="Times New Roman" w:hAnsi="Arial" w:cs="Arial"/>
                <w:i/>
                <w:color w:val="005EB8"/>
                <w:sz w:val="24"/>
                <w:lang w:eastAsia="en-GB"/>
              </w:rPr>
            </w:pPr>
            <w:r w:rsidRPr="00B12B93">
              <w:rPr>
                <w:rFonts w:ascii="Times New Roman" w:hAnsi="Times New Roman"/>
                <w:noProof/>
                <w:sz w:val="24"/>
                <w:szCs w:val="24"/>
                <w:lang w:eastAsia="en-GB"/>
              </w:rPr>
              <w:drawing>
                <wp:anchor distT="36576" distB="36576" distL="36576" distR="36576" simplePos="0" relativeHeight="251659264" behindDoc="0" locked="0" layoutInCell="1" allowOverlap="1" wp14:anchorId="0C8EC5B0" wp14:editId="4D4027F5">
                  <wp:simplePos x="0" y="0"/>
                  <wp:positionH relativeFrom="column">
                    <wp:posOffset>103860</wp:posOffset>
                  </wp:positionH>
                  <wp:positionV relativeFrom="paragraph">
                    <wp:posOffset>38912</wp:posOffset>
                  </wp:positionV>
                  <wp:extent cx="547173" cy="555955"/>
                  <wp:effectExtent l="0" t="0" r="5715" b="0"/>
                  <wp:wrapNone/>
                  <wp:docPr id="7" name="Picture 7" descr="Princess Alexandra_strap line blocks NHS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ess Alexandra_strap line blocks NHS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l="-1004" t="-3951" r="80655" b="36234"/>
                          <a:stretch>
                            <a:fillRect/>
                          </a:stretch>
                        </pic:blipFill>
                        <pic:spPr bwMode="auto">
                          <a:xfrm>
                            <a:off x="0" y="0"/>
                            <a:ext cx="548330" cy="557131"/>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p>
          <w:p w14:paraId="7AA25FEB" w14:textId="77777777" w:rsidR="00541DE7" w:rsidRPr="00B12B93" w:rsidRDefault="00541DE7" w:rsidP="00587EE5">
            <w:pPr>
              <w:contextualSpacing/>
              <w:jc w:val="center"/>
              <w:rPr>
                <w:rFonts w:ascii="Arial" w:eastAsia="Times New Roman" w:hAnsi="Arial" w:cs="Arial"/>
                <w:color w:val="005EB8"/>
                <w:sz w:val="24"/>
                <w:lang w:eastAsia="en-GB"/>
              </w:rPr>
            </w:pPr>
          </w:p>
          <w:p w14:paraId="4246AB97" w14:textId="77777777" w:rsidR="00541DE7" w:rsidRPr="00B12B93" w:rsidRDefault="00541DE7" w:rsidP="00587EE5">
            <w:pPr>
              <w:contextualSpacing/>
              <w:jc w:val="center"/>
              <w:rPr>
                <w:rFonts w:ascii="Arial" w:eastAsia="Times New Roman" w:hAnsi="Arial" w:cs="Arial"/>
                <w:color w:val="005EB8"/>
                <w:sz w:val="24"/>
                <w:lang w:eastAsia="en-GB"/>
              </w:rPr>
            </w:pPr>
          </w:p>
          <w:p w14:paraId="2C318504"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Patients</w:t>
            </w:r>
          </w:p>
        </w:tc>
        <w:tc>
          <w:tcPr>
            <w:tcW w:w="1513" w:type="dxa"/>
            <w:gridSpan w:val="2"/>
            <w:tcBorders>
              <w:top w:val="single" w:sz="4" w:space="0" w:color="auto"/>
              <w:left w:val="single" w:sz="4" w:space="0" w:color="auto"/>
              <w:bottom w:val="single" w:sz="4" w:space="0" w:color="auto"/>
              <w:right w:val="single" w:sz="4" w:space="0" w:color="auto"/>
            </w:tcBorders>
          </w:tcPr>
          <w:p w14:paraId="02C8B709" w14:textId="77777777" w:rsidR="00541DE7" w:rsidRPr="00B12B93" w:rsidRDefault="00541DE7" w:rsidP="00587EE5">
            <w:pPr>
              <w:contextualSpacing/>
              <w:jc w:val="center"/>
              <w:rPr>
                <w:rFonts w:ascii="Arial" w:eastAsia="Times New Roman" w:hAnsi="Arial" w:cs="Arial"/>
                <w:iCs/>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04AFDC6A" wp14:editId="22D7D62C">
                  <wp:simplePos x="0" y="0"/>
                  <wp:positionH relativeFrom="column">
                    <wp:posOffset>157480</wp:posOffset>
                  </wp:positionH>
                  <wp:positionV relativeFrom="paragraph">
                    <wp:posOffset>51435</wp:posOffset>
                  </wp:positionV>
                  <wp:extent cx="542925" cy="52691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26919"/>
                          </a:xfrm>
                          <a:prstGeom prst="rect">
                            <a:avLst/>
                          </a:prstGeom>
                          <a:noFill/>
                        </pic:spPr>
                      </pic:pic>
                    </a:graphicData>
                  </a:graphic>
                  <wp14:sizeRelH relativeFrom="page">
                    <wp14:pctWidth>0</wp14:pctWidth>
                  </wp14:sizeRelH>
                  <wp14:sizeRelV relativeFrom="page">
                    <wp14:pctHeight>0</wp14:pctHeight>
                  </wp14:sizeRelV>
                </wp:anchor>
              </w:drawing>
            </w:r>
          </w:p>
          <w:p w14:paraId="692279CE" w14:textId="77777777" w:rsidR="00541DE7" w:rsidRPr="00B12B93" w:rsidRDefault="00541DE7" w:rsidP="00587EE5">
            <w:pPr>
              <w:contextualSpacing/>
              <w:jc w:val="center"/>
              <w:rPr>
                <w:rFonts w:ascii="Arial" w:eastAsia="Times New Roman" w:hAnsi="Arial" w:cs="Arial"/>
                <w:b/>
                <w:iCs/>
                <w:color w:val="005EB8"/>
                <w:sz w:val="24"/>
                <w:lang w:eastAsia="en-GB"/>
              </w:rPr>
            </w:pPr>
            <w:r w:rsidRPr="00B12B93">
              <w:rPr>
                <w:rFonts w:ascii="Arial" w:eastAsia="Times New Roman" w:hAnsi="Arial" w:cs="Arial"/>
                <w:iCs/>
                <w:color w:val="005EB8"/>
                <w:sz w:val="24"/>
                <w:lang w:eastAsia="en-GB"/>
              </w:rPr>
              <w:br/>
            </w:r>
            <w:r w:rsidRPr="00B12B93">
              <w:rPr>
                <w:rFonts w:ascii="Arial" w:eastAsia="Times New Roman" w:hAnsi="Arial" w:cs="Arial"/>
                <w:iCs/>
                <w:color w:val="005EB8"/>
                <w:sz w:val="24"/>
                <w:lang w:eastAsia="en-GB"/>
              </w:rPr>
              <w:br/>
            </w:r>
            <w:r w:rsidRPr="00B12B93">
              <w:rPr>
                <w:rFonts w:ascii="Arial" w:eastAsia="Times New Roman" w:hAnsi="Arial" w:cs="Arial"/>
                <w:b/>
                <w:iCs/>
                <w:color w:val="005EB8"/>
                <w:sz w:val="24"/>
                <w:lang w:eastAsia="en-GB"/>
              </w:rPr>
              <w:t>People</w:t>
            </w:r>
          </w:p>
        </w:tc>
        <w:tc>
          <w:tcPr>
            <w:tcW w:w="1724" w:type="dxa"/>
            <w:gridSpan w:val="3"/>
            <w:tcBorders>
              <w:top w:val="single" w:sz="4" w:space="0" w:color="auto"/>
              <w:left w:val="single" w:sz="4" w:space="0" w:color="auto"/>
              <w:bottom w:val="single" w:sz="4" w:space="0" w:color="auto"/>
              <w:right w:val="single" w:sz="4" w:space="0" w:color="auto"/>
            </w:tcBorders>
          </w:tcPr>
          <w:p w14:paraId="6AA7D41D" w14:textId="77777777" w:rsidR="00541DE7" w:rsidRPr="00B12B93" w:rsidRDefault="00541DE7" w:rsidP="00587EE5">
            <w:pPr>
              <w:contextualSpacing/>
              <w:jc w:val="center"/>
              <w:rPr>
                <w:rFonts w:ascii="Arial" w:eastAsia="Times New Roman" w:hAnsi="Arial" w:cs="Arial"/>
                <w:noProof/>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2336" behindDoc="0" locked="0" layoutInCell="1" allowOverlap="1" wp14:anchorId="5B6BC41F" wp14:editId="504FBDD1">
                  <wp:simplePos x="0" y="0"/>
                  <wp:positionH relativeFrom="column">
                    <wp:posOffset>243840</wp:posOffset>
                  </wp:positionH>
                  <wp:positionV relativeFrom="paragraph">
                    <wp:posOffset>33020</wp:posOffset>
                  </wp:positionV>
                  <wp:extent cx="552450" cy="558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8165"/>
                          </a:xfrm>
                          <a:prstGeom prst="rect">
                            <a:avLst/>
                          </a:prstGeom>
                          <a:noFill/>
                        </pic:spPr>
                      </pic:pic>
                    </a:graphicData>
                  </a:graphic>
                  <wp14:sizeRelH relativeFrom="page">
                    <wp14:pctWidth>0</wp14:pctWidth>
                  </wp14:sizeRelH>
                  <wp14:sizeRelV relativeFrom="page">
                    <wp14:pctHeight>0</wp14:pctHeight>
                  </wp14:sizeRelV>
                </wp:anchor>
              </w:drawing>
            </w:r>
          </w:p>
          <w:p w14:paraId="43814C2E" w14:textId="77777777" w:rsidR="00541DE7" w:rsidRPr="00B12B93" w:rsidRDefault="00541DE7" w:rsidP="00587EE5">
            <w:pPr>
              <w:contextualSpacing/>
              <w:jc w:val="center"/>
              <w:rPr>
                <w:rFonts w:ascii="Arial" w:eastAsia="Times New Roman" w:hAnsi="Arial" w:cs="Arial"/>
                <w:noProof/>
                <w:color w:val="005EB8"/>
                <w:sz w:val="24"/>
                <w:lang w:eastAsia="en-GB"/>
              </w:rPr>
            </w:pPr>
          </w:p>
          <w:p w14:paraId="52544CEA" w14:textId="77777777" w:rsidR="00541DE7" w:rsidRPr="00B12B93" w:rsidRDefault="00541DE7" w:rsidP="00587EE5">
            <w:pPr>
              <w:contextualSpacing/>
              <w:jc w:val="center"/>
              <w:rPr>
                <w:rFonts w:ascii="Arial" w:eastAsia="Times New Roman" w:hAnsi="Arial" w:cs="Arial"/>
                <w:color w:val="005EB8"/>
                <w:sz w:val="24"/>
                <w:lang w:eastAsia="en-GB"/>
              </w:rPr>
            </w:pPr>
          </w:p>
          <w:p w14:paraId="07177C70" w14:textId="77777777" w:rsidR="00541DE7" w:rsidRPr="00B12B93" w:rsidRDefault="00541DE7" w:rsidP="00587EE5">
            <w:pPr>
              <w:contextualSpacing/>
              <w:jc w:val="center"/>
              <w:rPr>
                <w:rFonts w:ascii="Arial" w:eastAsia="Times New Roman" w:hAnsi="Arial" w:cs="Arial"/>
                <w:b/>
                <w:color w:val="005EB8"/>
                <w:sz w:val="24"/>
                <w:lang w:eastAsia="en-GB"/>
              </w:rPr>
            </w:pPr>
            <w:r w:rsidRPr="00B12B93">
              <w:rPr>
                <w:rFonts w:ascii="Arial" w:eastAsia="Times New Roman" w:hAnsi="Arial" w:cs="Arial"/>
                <w:b/>
                <w:color w:val="005EB8"/>
                <w:sz w:val="24"/>
                <w:lang w:eastAsia="en-GB"/>
              </w:rPr>
              <w:t>Performance</w:t>
            </w:r>
          </w:p>
        </w:tc>
        <w:tc>
          <w:tcPr>
            <w:tcW w:w="1305" w:type="dxa"/>
            <w:gridSpan w:val="3"/>
            <w:tcBorders>
              <w:top w:val="single" w:sz="4" w:space="0" w:color="auto"/>
              <w:left w:val="single" w:sz="4" w:space="0" w:color="auto"/>
              <w:bottom w:val="single" w:sz="4" w:space="0" w:color="auto"/>
              <w:right w:val="single" w:sz="4" w:space="0" w:color="auto"/>
            </w:tcBorders>
          </w:tcPr>
          <w:p w14:paraId="2B0D767B" w14:textId="77777777" w:rsidR="00541DE7" w:rsidRPr="00B12B93" w:rsidRDefault="00541DE7" w:rsidP="00587EE5">
            <w:pPr>
              <w:contextualSpacing/>
              <w:jc w:val="center"/>
              <w:rPr>
                <w:rFonts w:ascii="Arial" w:eastAsia="Times New Roman" w:hAnsi="Arial" w:cs="Arial"/>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3360" behindDoc="0" locked="0" layoutInCell="1" allowOverlap="1" wp14:anchorId="1E31CBA0" wp14:editId="775D84A6">
                  <wp:simplePos x="0" y="0"/>
                  <wp:positionH relativeFrom="column">
                    <wp:posOffset>71577</wp:posOffset>
                  </wp:positionH>
                  <wp:positionV relativeFrom="paragraph">
                    <wp:posOffset>53542</wp:posOffset>
                  </wp:positionV>
                  <wp:extent cx="541325" cy="5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3" cy="540973"/>
                          </a:xfrm>
                          <a:prstGeom prst="rect">
                            <a:avLst/>
                          </a:prstGeom>
                          <a:noFill/>
                        </pic:spPr>
                      </pic:pic>
                    </a:graphicData>
                  </a:graphic>
                  <wp14:sizeRelH relativeFrom="page">
                    <wp14:pctWidth>0</wp14:pctWidth>
                  </wp14:sizeRelH>
                  <wp14:sizeRelV relativeFrom="page">
                    <wp14:pctHeight>0</wp14:pctHeight>
                  </wp14:sizeRelV>
                </wp:anchor>
              </w:drawing>
            </w:r>
          </w:p>
          <w:p w14:paraId="3E872373" w14:textId="77777777" w:rsidR="00541DE7" w:rsidRPr="00B12B93" w:rsidRDefault="00541DE7" w:rsidP="00587EE5">
            <w:pPr>
              <w:contextualSpacing/>
              <w:jc w:val="center"/>
              <w:rPr>
                <w:rFonts w:ascii="Arial" w:eastAsia="Times New Roman" w:hAnsi="Arial" w:cs="Arial"/>
                <w:color w:val="005EB8"/>
                <w:sz w:val="24"/>
                <w:lang w:eastAsia="en-GB"/>
              </w:rPr>
            </w:pPr>
          </w:p>
          <w:p w14:paraId="6167D9A7" w14:textId="77777777" w:rsidR="00541DE7" w:rsidRPr="00B12B93" w:rsidRDefault="00541DE7" w:rsidP="00587EE5">
            <w:pPr>
              <w:contextualSpacing/>
              <w:jc w:val="center"/>
              <w:rPr>
                <w:rFonts w:ascii="Arial" w:eastAsia="Times New Roman" w:hAnsi="Arial" w:cs="Arial"/>
                <w:color w:val="005EB8"/>
                <w:sz w:val="24"/>
                <w:lang w:eastAsia="en-GB"/>
              </w:rPr>
            </w:pPr>
          </w:p>
          <w:p w14:paraId="6815C491"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Places</w:t>
            </w:r>
          </w:p>
        </w:tc>
        <w:tc>
          <w:tcPr>
            <w:tcW w:w="1759" w:type="dxa"/>
            <w:gridSpan w:val="2"/>
            <w:tcBorders>
              <w:top w:val="single" w:sz="4" w:space="0" w:color="auto"/>
              <w:left w:val="single" w:sz="4" w:space="0" w:color="auto"/>
              <w:bottom w:val="single" w:sz="4" w:space="0" w:color="auto"/>
              <w:right w:val="single" w:sz="4" w:space="0" w:color="auto"/>
            </w:tcBorders>
          </w:tcPr>
          <w:p w14:paraId="2622D3E8" w14:textId="77777777" w:rsidR="00541DE7" w:rsidRPr="00B12B93" w:rsidRDefault="00541DE7" w:rsidP="00587EE5">
            <w:pPr>
              <w:contextualSpacing/>
              <w:jc w:val="center"/>
              <w:rPr>
                <w:rFonts w:ascii="Arial" w:eastAsia="Times New Roman" w:hAnsi="Arial" w:cs="Arial"/>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5408" behindDoc="0" locked="0" layoutInCell="1" allowOverlap="1" wp14:anchorId="59B6D81A" wp14:editId="568D4AC4">
                  <wp:simplePos x="0" y="0"/>
                  <wp:positionH relativeFrom="column">
                    <wp:posOffset>211227</wp:posOffset>
                  </wp:positionH>
                  <wp:positionV relativeFrom="paragraph">
                    <wp:posOffset>37465</wp:posOffset>
                  </wp:positionV>
                  <wp:extent cx="541932" cy="55108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2" cy="551084"/>
                          </a:xfrm>
                          <a:prstGeom prst="rect">
                            <a:avLst/>
                          </a:prstGeom>
                          <a:noFill/>
                        </pic:spPr>
                      </pic:pic>
                    </a:graphicData>
                  </a:graphic>
                  <wp14:sizeRelH relativeFrom="page">
                    <wp14:pctWidth>0</wp14:pctWidth>
                  </wp14:sizeRelH>
                  <wp14:sizeRelV relativeFrom="page">
                    <wp14:pctHeight>0</wp14:pctHeight>
                  </wp14:sizeRelV>
                </wp:anchor>
              </w:drawing>
            </w:r>
          </w:p>
          <w:p w14:paraId="21282DF8"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color w:val="005EB8"/>
                <w:sz w:val="24"/>
                <w:lang w:eastAsia="en-GB"/>
              </w:rPr>
              <w:br/>
            </w:r>
            <w:r w:rsidRPr="00B12B93">
              <w:rPr>
                <w:rFonts w:ascii="Arial" w:eastAsia="Times New Roman" w:hAnsi="Arial" w:cs="Arial"/>
                <w:color w:val="005EB8"/>
                <w:sz w:val="24"/>
                <w:lang w:eastAsia="en-GB"/>
              </w:rPr>
              <w:br/>
            </w:r>
            <w:r w:rsidRPr="00B12B93">
              <w:rPr>
                <w:rFonts w:ascii="Arial" w:eastAsia="Times New Roman" w:hAnsi="Arial" w:cs="Arial"/>
                <w:b/>
                <w:color w:val="005EB8"/>
                <w:sz w:val="24"/>
                <w:lang w:eastAsia="en-GB"/>
              </w:rPr>
              <w:t>Pounds</w:t>
            </w:r>
          </w:p>
        </w:tc>
      </w:tr>
      <w:tr w:rsidR="00541DE7" w:rsidRPr="00EB38B7" w14:paraId="250F418B" w14:textId="77777777" w:rsidTr="00587EE5">
        <w:trPr>
          <w:cantSplit/>
          <w:trHeight w:val="174"/>
        </w:trPr>
        <w:tc>
          <w:tcPr>
            <w:tcW w:w="2930" w:type="dxa"/>
            <w:vMerge/>
            <w:tcBorders>
              <w:left w:val="single" w:sz="4" w:space="0" w:color="auto"/>
              <w:bottom w:val="single" w:sz="4" w:space="0" w:color="auto"/>
              <w:right w:val="single" w:sz="4" w:space="0" w:color="auto"/>
            </w:tcBorders>
          </w:tcPr>
          <w:p w14:paraId="2B9DE500" w14:textId="77777777" w:rsidR="00541DE7" w:rsidRPr="00EB38B7" w:rsidRDefault="00541DE7" w:rsidP="004B3D3B">
            <w:pPr>
              <w:spacing w:after="0" w:line="240" w:lineRule="auto"/>
              <w:rPr>
                <w:rFonts w:ascii="Arial" w:eastAsia="Times New Roman" w:hAnsi="Arial" w:cs="Arial"/>
                <w:b/>
                <w:bCs/>
                <w:lang w:eastAsia="en-GB"/>
              </w:rPr>
            </w:pPr>
          </w:p>
        </w:tc>
        <w:tc>
          <w:tcPr>
            <w:tcW w:w="1376" w:type="dxa"/>
            <w:tcBorders>
              <w:top w:val="single" w:sz="4" w:space="0" w:color="auto"/>
              <w:left w:val="single" w:sz="4" w:space="0" w:color="auto"/>
              <w:bottom w:val="single" w:sz="4" w:space="0" w:color="auto"/>
              <w:right w:val="single" w:sz="4" w:space="0" w:color="auto"/>
            </w:tcBorders>
          </w:tcPr>
          <w:p w14:paraId="6366FE8D"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513" w:type="dxa"/>
            <w:gridSpan w:val="2"/>
            <w:tcBorders>
              <w:top w:val="single" w:sz="4" w:space="0" w:color="auto"/>
              <w:left w:val="single" w:sz="4" w:space="0" w:color="auto"/>
              <w:bottom w:val="single" w:sz="4" w:space="0" w:color="auto"/>
              <w:right w:val="single" w:sz="4" w:space="0" w:color="auto"/>
            </w:tcBorders>
          </w:tcPr>
          <w:p w14:paraId="014040F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724" w:type="dxa"/>
            <w:gridSpan w:val="3"/>
            <w:tcBorders>
              <w:top w:val="single" w:sz="4" w:space="0" w:color="auto"/>
              <w:left w:val="single" w:sz="4" w:space="0" w:color="auto"/>
              <w:bottom w:val="single" w:sz="4" w:space="0" w:color="auto"/>
              <w:right w:val="single" w:sz="4" w:space="0" w:color="auto"/>
            </w:tcBorders>
          </w:tcPr>
          <w:p w14:paraId="1909F49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305" w:type="dxa"/>
            <w:gridSpan w:val="3"/>
            <w:tcBorders>
              <w:top w:val="single" w:sz="4" w:space="0" w:color="auto"/>
              <w:left w:val="single" w:sz="4" w:space="0" w:color="auto"/>
              <w:bottom w:val="single" w:sz="4" w:space="0" w:color="auto"/>
              <w:right w:val="single" w:sz="4" w:space="0" w:color="auto"/>
            </w:tcBorders>
          </w:tcPr>
          <w:p w14:paraId="2DFA088C" w14:textId="77777777" w:rsidR="00541DE7" w:rsidRPr="00B12B93" w:rsidRDefault="00541DE7" w:rsidP="004B3D3B">
            <w:pPr>
              <w:contextualSpacing/>
              <w:jc w:val="center"/>
              <w:rPr>
                <w:rFonts w:ascii="Arial" w:eastAsia="Times New Roman" w:hAnsi="Arial" w:cs="Arial"/>
                <w:iCs/>
                <w:lang w:eastAsia="en-GB"/>
              </w:rPr>
            </w:pPr>
          </w:p>
        </w:tc>
        <w:tc>
          <w:tcPr>
            <w:tcW w:w="1759" w:type="dxa"/>
            <w:gridSpan w:val="2"/>
            <w:tcBorders>
              <w:top w:val="single" w:sz="4" w:space="0" w:color="auto"/>
              <w:left w:val="single" w:sz="4" w:space="0" w:color="auto"/>
              <w:bottom w:val="single" w:sz="4" w:space="0" w:color="auto"/>
              <w:right w:val="single" w:sz="4" w:space="0" w:color="auto"/>
            </w:tcBorders>
          </w:tcPr>
          <w:p w14:paraId="6C26BC36"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r>
      <w:tr w:rsidR="00541DE7" w:rsidRPr="00EB38B7" w14:paraId="45CE1EE2" w14:textId="77777777" w:rsidTr="00587EE5">
        <w:trPr>
          <w:cantSplit/>
          <w:trHeight w:val="213"/>
        </w:trPr>
        <w:tc>
          <w:tcPr>
            <w:tcW w:w="2930" w:type="dxa"/>
            <w:tcBorders>
              <w:top w:val="single" w:sz="4" w:space="0" w:color="auto"/>
              <w:left w:val="nil"/>
              <w:bottom w:val="single" w:sz="4" w:space="0" w:color="auto"/>
              <w:right w:val="nil"/>
            </w:tcBorders>
          </w:tcPr>
          <w:p w14:paraId="55522C2A" w14:textId="77777777" w:rsidR="00541DE7" w:rsidRPr="00EB38B7" w:rsidRDefault="00541DE7" w:rsidP="004B3D3B">
            <w:pPr>
              <w:spacing w:after="0" w:line="240" w:lineRule="auto"/>
              <w:rPr>
                <w:rFonts w:ascii="Arial" w:eastAsia="Times New Roman" w:hAnsi="Arial" w:cs="Arial"/>
                <w:b/>
                <w:bCs/>
                <w:sz w:val="18"/>
                <w:szCs w:val="18"/>
                <w:lang w:eastAsia="en-GB"/>
              </w:rPr>
            </w:pPr>
          </w:p>
        </w:tc>
        <w:tc>
          <w:tcPr>
            <w:tcW w:w="7679" w:type="dxa"/>
            <w:gridSpan w:val="11"/>
            <w:tcBorders>
              <w:top w:val="single" w:sz="4" w:space="0" w:color="auto"/>
              <w:left w:val="nil"/>
              <w:bottom w:val="single" w:sz="4" w:space="0" w:color="auto"/>
              <w:right w:val="nil"/>
            </w:tcBorders>
          </w:tcPr>
          <w:p w14:paraId="4C7529B7" w14:textId="77777777" w:rsidR="00541DE7" w:rsidRPr="00B12B93" w:rsidRDefault="00541DE7" w:rsidP="004B3D3B">
            <w:pPr>
              <w:spacing w:after="0" w:line="240" w:lineRule="auto"/>
              <w:rPr>
                <w:rFonts w:ascii="Arial" w:eastAsia="Times New Roman" w:hAnsi="Arial" w:cs="Arial"/>
                <w:bCs/>
                <w:sz w:val="18"/>
                <w:szCs w:val="18"/>
                <w:lang w:eastAsia="en-GB"/>
              </w:rPr>
            </w:pPr>
          </w:p>
        </w:tc>
      </w:tr>
      <w:tr w:rsidR="00541DE7" w:rsidRPr="00EB38B7" w14:paraId="08080365" w14:textId="77777777" w:rsidTr="00587EE5">
        <w:trPr>
          <w:cantSplit/>
          <w:trHeight w:hRule="exact" w:val="742"/>
        </w:trPr>
        <w:tc>
          <w:tcPr>
            <w:tcW w:w="2930" w:type="dxa"/>
            <w:tcBorders>
              <w:top w:val="single" w:sz="4" w:space="0" w:color="auto"/>
              <w:left w:val="single" w:sz="4" w:space="0" w:color="auto"/>
              <w:bottom w:val="single" w:sz="4" w:space="0" w:color="auto"/>
              <w:right w:val="single" w:sz="4" w:space="0" w:color="auto"/>
            </w:tcBorders>
            <w:hideMark/>
          </w:tcPr>
          <w:p w14:paraId="0F838FEF" w14:textId="77777777" w:rsidR="00541DE7" w:rsidRPr="00E9073B" w:rsidRDefault="00541DE7" w:rsidP="004B3D3B">
            <w:pPr>
              <w:spacing w:after="0" w:line="240" w:lineRule="auto"/>
              <w:rPr>
                <w:rFonts w:ascii="Arial" w:eastAsia="Times New Roman" w:hAnsi="Arial" w:cs="Arial"/>
                <w:b/>
                <w:bCs/>
                <w:color w:val="005EB8"/>
                <w:sz w:val="24"/>
                <w:szCs w:val="18"/>
                <w:lang w:eastAsia="en-GB"/>
              </w:rPr>
            </w:pPr>
            <w:r w:rsidRPr="00E9073B">
              <w:rPr>
                <w:rFonts w:ascii="Arial" w:eastAsia="Times New Roman" w:hAnsi="Arial" w:cs="Arial"/>
                <w:b/>
                <w:bCs/>
                <w:color w:val="005EB8"/>
                <w:sz w:val="24"/>
                <w:szCs w:val="18"/>
                <w:lang w:eastAsia="en-GB"/>
              </w:rPr>
              <w:t>Previously considered by:</w:t>
            </w:r>
          </w:p>
        </w:tc>
        <w:tc>
          <w:tcPr>
            <w:tcW w:w="7679" w:type="dxa"/>
            <w:gridSpan w:val="11"/>
            <w:tcBorders>
              <w:top w:val="single" w:sz="4" w:space="0" w:color="auto"/>
              <w:left w:val="single" w:sz="4" w:space="0" w:color="auto"/>
              <w:bottom w:val="single" w:sz="4" w:space="0" w:color="auto"/>
              <w:right w:val="single" w:sz="4" w:space="0" w:color="auto"/>
            </w:tcBorders>
          </w:tcPr>
          <w:p w14:paraId="45357068" w14:textId="77777777" w:rsidR="00541DE7" w:rsidRPr="00587EE5" w:rsidRDefault="00541DE7" w:rsidP="004B3D3B">
            <w:pPr>
              <w:spacing w:after="0" w:line="240" w:lineRule="auto"/>
              <w:rPr>
                <w:rFonts w:ascii="Arial" w:eastAsia="Times New Roman" w:hAnsi="Arial" w:cs="Arial"/>
                <w:bCs/>
                <w:lang w:eastAsia="en-GB"/>
              </w:rPr>
            </w:pPr>
            <w:r w:rsidRPr="00587EE5">
              <w:rPr>
                <w:rFonts w:ascii="Arial" w:eastAsia="Times New Roman" w:hAnsi="Arial" w:cs="Arial"/>
                <w:bCs/>
                <w:lang w:eastAsia="en-GB"/>
              </w:rPr>
              <w:t>NA</w:t>
            </w:r>
          </w:p>
          <w:p w14:paraId="2E26228B" w14:textId="77777777" w:rsidR="00541DE7" w:rsidRPr="00587EE5" w:rsidRDefault="00541DE7" w:rsidP="004B3D3B">
            <w:pPr>
              <w:spacing w:after="0" w:line="240" w:lineRule="auto"/>
              <w:rPr>
                <w:rFonts w:ascii="Arial" w:eastAsia="Times New Roman" w:hAnsi="Arial" w:cs="Arial"/>
                <w:bCs/>
                <w:lang w:eastAsia="en-GB"/>
              </w:rPr>
            </w:pPr>
          </w:p>
        </w:tc>
      </w:tr>
      <w:tr w:rsidR="00541DE7" w:rsidRPr="00EB38B7" w14:paraId="7BB51E87" w14:textId="77777777" w:rsidTr="00587EE5">
        <w:trPr>
          <w:cantSplit/>
          <w:trHeight w:hRule="exact" w:val="737"/>
        </w:trPr>
        <w:tc>
          <w:tcPr>
            <w:tcW w:w="2930" w:type="dxa"/>
            <w:tcBorders>
              <w:top w:val="single" w:sz="4" w:space="0" w:color="auto"/>
              <w:left w:val="single" w:sz="4" w:space="0" w:color="auto"/>
              <w:bottom w:val="single" w:sz="4" w:space="0" w:color="auto"/>
              <w:right w:val="single" w:sz="4" w:space="0" w:color="auto"/>
            </w:tcBorders>
          </w:tcPr>
          <w:p w14:paraId="3676E573"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Risk / links with the BAF:</w:t>
            </w:r>
          </w:p>
          <w:p w14:paraId="0A4D499E"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520DE7E5" w14:textId="77777777" w:rsidR="00541DE7" w:rsidRPr="00587EE5" w:rsidRDefault="00541DE7" w:rsidP="004B3D3B">
            <w:pPr>
              <w:spacing w:after="0" w:line="240" w:lineRule="auto"/>
              <w:rPr>
                <w:rFonts w:ascii="Arial" w:eastAsia="Times New Roman" w:hAnsi="Arial" w:cs="Arial"/>
                <w:lang w:eastAsia="en-GB"/>
              </w:rPr>
            </w:pPr>
          </w:p>
          <w:p w14:paraId="7A86308D"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BAF: 2.</w:t>
            </w:r>
            <w:r w:rsidR="007F101F" w:rsidRPr="00587EE5">
              <w:rPr>
                <w:rFonts w:ascii="Arial" w:eastAsia="Times New Roman" w:hAnsi="Arial" w:cs="Arial"/>
                <w:lang w:eastAsia="en-GB"/>
              </w:rPr>
              <w:t>3</w:t>
            </w:r>
            <w:r w:rsidRPr="00587EE5">
              <w:rPr>
                <w:rFonts w:ascii="Arial" w:eastAsia="Times New Roman" w:hAnsi="Arial" w:cs="Arial"/>
                <w:lang w:eastAsia="en-GB"/>
              </w:rPr>
              <w:t xml:space="preserve"> Workforce capacity</w:t>
            </w:r>
          </w:p>
          <w:p w14:paraId="090194CD" w14:textId="77777777" w:rsidR="00541DE7" w:rsidRPr="00587EE5" w:rsidRDefault="00541DE7" w:rsidP="004B3D3B">
            <w:pPr>
              <w:spacing w:after="0" w:line="240" w:lineRule="auto"/>
              <w:rPr>
                <w:rFonts w:ascii="Arial" w:eastAsia="Times New Roman" w:hAnsi="Arial" w:cs="Arial"/>
                <w:lang w:eastAsia="en-GB"/>
              </w:rPr>
            </w:pPr>
          </w:p>
          <w:p w14:paraId="1CB62E74" w14:textId="77777777" w:rsidR="00541DE7" w:rsidRPr="00587EE5" w:rsidRDefault="00541DE7" w:rsidP="004B3D3B">
            <w:pPr>
              <w:spacing w:after="0" w:line="240" w:lineRule="auto"/>
              <w:rPr>
                <w:rFonts w:ascii="Arial" w:eastAsia="Times New Roman" w:hAnsi="Arial" w:cs="Arial"/>
                <w:lang w:eastAsia="en-GB"/>
              </w:rPr>
            </w:pPr>
          </w:p>
          <w:p w14:paraId="1420D18A" w14:textId="77777777" w:rsidR="00541DE7" w:rsidRPr="00587EE5" w:rsidRDefault="00541DE7" w:rsidP="004B3D3B">
            <w:pPr>
              <w:spacing w:after="0" w:line="240" w:lineRule="auto"/>
              <w:rPr>
                <w:rFonts w:ascii="Arial" w:eastAsia="Times New Roman" w:hAnsi="Arial" w:cs="Arial"/>
                <w:lang w:eastAsia="en-GB"/>
              </w:rPr>
            </w:pPr>
          </w:p>
          <w:p w14:paraId="4A1353DA" w14:textId="77777777" w:rsidR="00541DE7" w:rsidRPr="00587EE5" w:rsidRDefault="00541DE7" w:rsidP="004B3D3B">
            <w:pPr>
              <w:spacing w:after="0" w:line="240" w:lineRule="auto"/>
              <w:rPr>
                <w:rFonts w:ascii="Arial" w:eastAsia="Times New Roman" w:hAnsi="Arial" w:cs="Arial"/>
                <w:lang w:eastAsia="en-GB"/>
              </w:rPr>
            </w:pPr>
          </w:p>
          <w:p w14:paraId="6284BF4A" w14:textId="77777777" w:rsidR="00541DE7" w:rsidRPr="00587EE5" w:rsidRDefault="00541DE7" w:rsidP="004B3D3B">
            <w:pPr>
              <w:spacing w:after="0" w:line="240" w:lineRule="auto"/>
              <w:rPr>
                <w:rFonts w:ascii="Arial" w:eastAsia="Times New Roman" w:hAnsi="Arial" w:cs="Arial"/>
                <w:lang w:eastAsia="en-GB"/>
              </w:rPr>
            </w:pPr>
          </w:p>
          <w:p w14:paraId="19AB65B5" w14:textId="77777777" w:rsidR="00541DE7" w:rsidRPr="00587EE5" w:rsidRDefault="00541DE7" w:rsidP="004B3D3B">
            <w:pPr>
              <w:spacing w:after="0" w:line="240" w:lineRule="auto"/>
              <w:rPr>
                <w:rFonts w:ascii="Arial" w:eastAsia="Times New Roman" w:hAnsi="Arial" w:cs="Arial"/>
                <w:lang w:eastAsia="en-GB"/>
              </w:rPr>
            </w:pPr>
          </w:p>
          <w:p w14:paraId="5F6992D7" w14:textId="77777777" w:rsidR="00541DE7" w:rsidRPr="00587EE5" w:rsidRDefault="00541DE7" w:rsidP="004B3D3B">
            <w:pPr>
              <w:spacing w:after="0" w:line="240" w:lineRule="auto"/>
              <w:rPr>
                <w:rFonts w:ascii="Arial" w:eastAsia="Times New Roman" w:hAnsi="Arial" w:cs="Arial"/>
                <w:lang w:eastAsia="en-GB"/>
              </w:rPr>
            </w:pPr>
          </w:p>
          <w:p w14:paraId="703323E2" w14:textId="77777777" w:rsidR="00541DE7" w:rsidRPr="00587EE5" w:rsidRDefault="00541DE7" w:rsidP="004B3D3B">
            <w:pPr>
              <w:spacing w:after="0" w:line="240" w:lineRule="auto"/>
              <w:rPr>
                <w:rFonts w:ascii="Arial" w:eastAsia="Times New Roman" w:hAnsi="Arial" w:cs="Arial"/>
                <w:lang w:eastAsia="en-GB"/>
              </w:rPr>
            </w:pPr>
          </w:p>
          <w:p w14:paraId="74F496E0" w14:textId="77777777" w:rsidR="00541DE7" w:rsidRPr="00587EE5" w:rsidRDefault="00541DE7" w:rsidP="004B3D3B">
            <w:pPr>
              <w:spacing w:after="0" w:line="240" w:lineRule="auto"/>
              <w:rPr>
                <w:rFonts w:ascii="Arial" w:eastAsia="Times New Roman" w:hAnsi="Arial" w:cs="Arial"/>
                <w:lang w:eastAsia="en-GB"/>
              </w:rPr>
            </w:pPr>
          </w:p>
          <w:p w14:paraId="664D004A" w14:textId="77777777" w:rsidR="00541DE7" w:rsidRPr="00587EE5" w:rsidRDefault="00541DE7" w:rsidP="004B3D3B">
            <w:pPr>
              <w:spacing w:after="0" w:line="240" w:lineRule="auto"/>
              <w:rPr>
                <w:rFonts w:ascii="Arial" w:eastAsia="Times New Roman" w:hAnsi="Arial" w:cs="Arial"/>
                <w:lang w:eastAsia="en-GB"/>
              </w:rPr>
            </w:pPr>
          </w:p>
          <w:p w14:paraId="33110CE5" w14:textId="77777777" w:rsidR="00541DE7" w:rsidRPr="00587EE5" w:rsidRDefault="00541DE7" w:rsidP="004B3D3B">
            <w:pPr>
              <w:spacing w:after="0" w:line="240" w:lineRule="auto"/>
              <w:rPr>
                <w:rFonts w:ascii="Arial" w:eastAsia="Times New Roman" w:hAnsi="Arial" w:cs="Arial"/>
                <w:lang w:eastAsia="en-GB"/>
              </w:rPr>
            </w:pPr>
          </w:p>
          <w:p w14:paraId="30288A41" w14:textId="77777777" w:rsidR="00541DE7" w:rsidRPr="00587EE5" w:rsidRDefault="00541DE7" w:rsidP="004B3D3B">
            <w:pPr>
              <w:spacing w:after="0" w:line="240" w:lineRule="auto"/>
              <w:rPr>
                <w:rFonts w:ascii="Arial" w:eastAsia="Times New Roman" w:hAnsi="Arial" w:cs="Arial"/>
                <w:lang w:eastAsia="en-GB"/>
              </w:rPr>
            </w:pPr>
          </w:p>
          <w:p w14:paraId="1E4CAA05" w14:textId="77777777" w:rsidR="00541DE7" w:rsidRPr="00587EE5" w:rsidRDefault="00541DE7" w:rsidP="004B3D3B">
            <w:pPr>
              <w:spacing w:after="0" w:line="240" w:lineRule="auto"/>
              <w:rPr>
                <w:rFonts w:ascii="Arial" w:eastAsia="Times New Roman" w:hAnsi="Arial" w:cs="Arial"/>
                <w:lang w:eastAsia="en-GB"/>
              </w:rPr>
            </w:pPr>
          </w:p>
          <w:p w14:paraId="7E234373" w14:textId="77777777" w:rsidR="00541DE7" w:rsidRPr="00587EE5" w:rsidRDefault="00541DE7" w:rsidP="004B3D3B">
            <w:pPr>
              <w:spacing w:after="0" w:line="240" w:lineRule="auto"/>
              <w:rPr>
                <w:rFonts w:ascii="Arial" w:eastAsia="Times New Roman" w:hAnsi="Arial" w:cs="Arial"/>
                <w:lang w:eastAsia="en-GB"/>
              </w:rPr>
            </w:pPr>
          </w:p>
          <w:p w14:paraId="29DF977A" w14:textId="77777777" w:rsidR="00541DE7" w:rsidRPr="00587EE5" w:rsidRDefault="00541DE7" w:rsidP="004B3D3B">
            <w:pPr>
              <w:spacing w:after="0" w:line="240" w:lineRule="auto"/>
              <w:rPr>
                <w:rFonts w:ascii="Arial" w:eastAsia="Times New Roman" w:hAnsi="Arial" w:cs="Arial"/>
                <w:lang w:eastAsia="en-GB"/>
              </w:rPr>
            </w:pPr>
          </w:p>
          <w:p w14:paraId="01C2F12D" w14:textId="77777777" w:rsidR="00541DE7" w:rsidRPr="00587EE5" w:rsidRDefault="00541DE7" w:rsidP="004B3D3B">
            <w:pPr>
              <w:spacing w:after="0" w:line="240" w:lineRule="auto"/>
              <w:rPr>
                <w:rFonts w:ascii="Arial" w:eastAsia="Times New Roman" w:hAnsi="Arial" w:cs="Arial"/>
                <w:lang w:eastAsia="en-GB"/>
              </w:rPr>
            </w:pPr>
          </w:p>
          <w:p w14:paraId="2EAAF443" w14:textId="77777777" w:rsidR="00541DE7" w:rsidRPr="00587EE5" w:rsidRDefault="00541DE7" w:rsidP="004B3D3B">
            <w:pPr>
              <w:spacing w:after="0" w:line="240" w:lineRule="auto"/>
              <w:rPr>
                <w:rFonts w:ascii="Arial" w:eastAsia="Times New Roman" w:hAnsi="Arial" w:cs="Arial"/>
                <w:lang w:eastAsia="en-GB"/>
              </w:rPr>
            </w:pPr>
          </w:p>
          <w:p w14:paraId="6F69688F" w14:textId="77777777" w:rsidR="00541DE7" w:rsidRPr="00587EE5" w:rsidRDefault="00541DE7" w:rsidP="004B3D3B">
            <w:pPr>
              <w:spacing w:after="0" w:line="240" w:lineRule="auto"/>
              <w:rPr>
                <w:rFonts w:ascii="Arial" w:eastAsia="Times New Roman" w:hAnsi="Arial" w:cs="Arial"/>
                <w:lang w:eastAsia="en-GB"/>
              </w:rPr>
            </w:pPr>
          </w:p>
          <w:p w14:paraId="39DD2BF6" w14:textId="77777777" w:rsidR="00541DE7" w:rsidRPr="00587EE5" w:rsidRDefault="00541DE7" w:rsidP="004B3D3B">
            <w:pPr>
              <w:spacing w:after="0" w:line="240" w:lineRule="auto"/>
              <w:rPr>
                <w:rFonts w:ascii="Arial" w:eastAsia="Times New Roman" w:hAnsi="Arial" w:cs="Arial"/>
                <w:lang w:eastAsia="en-GB"/>
              </w:rPr>
            </w:pPr>
          </w:p>
          <w:p w14:paraId="74EC5980" w14:textId="77777777" w:rsidR="00541DE7" w:rsidRPr="00587EE5" w:rsidRDefault="00541DE7" w:rsidP="004B3D3B">
            <w:pPr>
              <w:spacing w:after="0" w:line="240" w:lineRule="auto"/>
              <w:rPr>
                <w:rFonts w:ascii="Arial" w:eastAsia="Times New Roman" w:hAnsi="Arial" w:cs="Arial"/>
                <w:lang w:eastAsia="en-GB"/>
              </w:rPr>
            </w:pPr>
          </w:p>
          <w:p w14:paraId="2A327B3D" w14:textId="77777777" w:rsidR="00541DE7" w:rsidRPr="00587EE5" w:rsidRDefault="00541DE7" w:rsidP="004B3D3B">
            <w:pPr>
              <w:spacing w:after="0" w:line="240" w:lineRule="auto"/>
              <w:rPr>
                <w:rFonts w:ascii="Arial" w:eastAsia="Times New Roman" w:hAnsi="Arial" w:cs="Arial"/>
                <w:lang w:eastAsia="en-GB"/>
              </w:rPr>
            </w:pPr>
          </w:p>
          <w:p w14:paraId="6DAE90D3" w14:textId="77777777" w:rsidR="00541DE7" w:rsidRPr="00587EE5" w:rsidRDefault="00541DE7" w:rsidP="004B3D3B">
            <w:pPr>
              <w:spacing w:after="0" w:line="240" w:lineRule="auto"/>
              <w:rPr>
                <w:rFonts w:ascii="Arial" w:eastAsia="Times New Roman" w:hAnsi="Arial" w:cs="Arial"/>
                <w:lang w:eastAsia="en-GB"/>
              </w:rPr>
            </w:pPr>
          </w:p>
          <w:p w14:paraId="5CF6DB4C" w14:textId="77777777" w:rsidR="00541DE7" w:rsidRPr="00587EE5" w:rsidRDefault="00541DE7" w:rsidP="004B3D3B">
            <w:pPr>
              <w:spacing w:after="0" w:line="240" w:lineRule="auto"/>
              <w:rPr>
                <w:rFonts w:ascii="Arial" w:eastAsia="Times New Roman" w:hAnsi="Arial" w:cs="Arial"/>
                <w:lang w:eastAsia="en-GB"/>
              </w:rPr>
            </w:pPr>
          </w:p>
          <w:p w14:paraId="0547DB23" w14:textId="77777777" w:rsidR="00541DE7" w:rsidRPr="00587EE5" w:rsidRDefault="00541DE7" w:rsidP="004B3D3B">
            <w:pPr>
              <w:spacing w:after="0" w:line="240" w:lineRule="auto"/>
              <w:rPr>
                <w:rFonts w:ascii="Arial" w:eastAsia="Times New Roman" w:hAnsi="Arial" w:cs="Arial"/>
                <w:lang w:eastAsia="en-GB"/>
              </w:rPr>
            </w:pPr>
          </w:p>
          <w:p w14:paraId="30AE901A" w14:textId="77777777" w:rsidR="00541DE7" w:rsidRPr="00587EE5" w:rsidRDefault="00541DE7" w:rsidP="004B3D3B">
            <w:pPr>
              <w:spacing w:after="0" w:line="240" w:lineRule="auto"/>
              <w:rPr>
                <w:rFonts w:ascii="Arial" w:eastAsia="Times New Roman" w:hAnsi="Arial" w:cs="Arial"/>
                <w:lang w:eastAsia="en-GB"/>
              </w:rPr>
            </w:pPr>
          </w:p>
          <w:p w14:paraId="33DB0CBD" w14:textId="77777777" w:rsidR="00541DE7" w:rsidRPr="00587EE5" w:rsidRDefault="00541DE7" w:rsidP="004B3D3B">
            <w:pPr>
              <w:spacing w:after="0" w:line="240" w:lineRule="auto"/>
              <w:rPr>
                <w:rFonts w:ascii="Arial" w:eastAsia="Times New Roman" w:hAnsi="Arial" w:cs="Arial"/>
                <w:lang w:eastAsia="en-GB"/>
              </w:rPr>
            </w:pPr>
          </w:p>
          <w:p w14:paraId="75847996" w14:textId="77777777" w:rsidR="00541DE7" w:rsidRPr="00587EE5" w:rsidRDefault="00541DE7" w:rsidP="004B3D3B">
            <w:pPr>
              <w:spacing w:after="0" w:line="240" w:lineRule="auto"/>
              <w:rPr>
                <w:rFonts w:ascii="Arial" w:eastAsia="Times New Roman" w:hAnsi="Arial" w:cs="Arial"/>
                <w:lang w:eastAsia="en-GB"/>
              </w:rPr>
            </w:pPr>
          </w:p>
          <w:p w14:paraId="763961E8" w14:textId="77777777" w:rsidR="00541DE7" w:rsidRPr="00587EE5" w:rsidRDefault="00541DE7" w:rsidP="004B3D3B">
            <w:pPr>
              <w:spacing w:after="0" w:line="240" w:lineRule="auto"/>
              <w:rPr>
                <w:rFonts w:ascii="Arial" w:eastAsia="Times New Roman" w:hAnsi="Arial" w:cs="Arial"/>
                <w:lang w:eastAsia="en-GB"/>
              </w:rPr>
            </w:pPr>
          </w:p>
          <w:p w14:paraId="126DE936" w14:textId="77777777" w:rsidR="00541DE7" w:rsidRPr="00587EE5" w:rsidRDefault="00541DE7" w:rsidP="004B3D3B">
            <w:pPr>
              <w:spacing w:after="0" w:line="240" w:lineRule="auto"/>
              <w:rPr>
                <w:rFonts w:ascii="Arial" w:eastAsia="Times New Roman" w:hAnsi="Arial" w:cs="Arial"/>
                <w:lang w:eastAsia="en-GB"/>
              </w:rPr>
            </w:pPr>
          </w:p>
          <w:p w14:paraId="1D986DB3" w14:textId="77777777" w:rsidR="00541DE7" w:rsidRPr="00587EE5" w:rsidRDefault="00541DE7" w:rsidP="004B3D3B">
            <w:pPr>
              <w:spacing w:after="0" w:line="240" w:lineRule="auto"/>
              <w:rPr>
                <w:rFonts w:ascii="Arial" w:eastAsia="Times New Roman" w:hAnsi="Arial" w:cs="Arial"/>
                <w:lang w:eastAsia="en-GB"/>
              </w:rPr>
            </w:pPr>
          </w:p>
        </w:tc>
      </w:tr>
      <w:tr w:rsidR="00541DE7" w:rsidRPr="00EB38B7" w14:paraId="7350A0A8" w14:textId="77777777" w:rsidTr="00587EE5">
        <w:trPr>
          <w:cantSplit/>
          <w:trHeight w:hRule="exact" w:val="1165"/>
        </w:trPr>
        <w:tc>
          <w:tcPr>
            <w:tcW w:w="2930" w:type="dxa"/>
            <w:tcBorders>
              <w:top w:val="single" w:sz="4" w:space="0" w:color="auto"/>
              <w:left w:val="single" w:sz="4" w:space="0" w:color="auto"/>
              <w:bottom w:val="single" w:sz="4" w:space="0" w:color="auto"/>
              <w:right w:val="single" w:sz="4" w:space="0" w:color="auto"/>
            </w:tcBorders>
          </w:tcPr>
          <w:p w14:paraId="6E610B37"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Legislation, regulatory, equality, diversity and dignity implications:</w:t>
            </w:r>
          </w:p>
          <w:p w14:paraId="1BF825A8"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19C96E6F"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England and CQC letter to NHSFT CEOs (31.3.14): Hard Truths Commitment regarding publishing of staffing data.</w:t>
            </w:r>
          </w:p>
          <w:p w14:paraId="5F9E47FA"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Improvement letter: 22.4.16</w:t>
            </w:r>
          </w:p>
          <w:p w14:paraId="563C2FBD"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Improvement letter re CHPPD: 29/6/18</w:t>
            </w:r>
          </w:p>
          <w:p w14:paraId="3BB28583" w14:textId="77777777" w:rsidR="00587EE5" w:rsidRPr="00587EE5" w:rsidRDefault="00587EE5" w:rsidP="004B3D3B">
            <w:pPr>
              <w:spacing w:after="0" w:line="240" w:lineRule="auto"/>
              <w:rPr>
                <w:rFonts w:ascii="Arial" w:eastAsia="Times New Roman" w:hAnsi="Arial" w:cs="Arial"/>
                <w:lang w:eastAsia="en-GB"/>
              </w:rPr>
            </w:pPr>
          </w:p>
          <w:p w14:paraId="5E005168" w14:textId="77777777" w:rsidR="00541DE7" w:rsidRPr="00587EE5" w:rsidRDefault="00541DE7" w:rsidP="004B3D3B">
            <w:pPr>
              <w:spacing w:after="0" w:line="240" w:lineRule="auto"/>
              <w:rPr>
                <w:rFonts w:ascii="Arial" w:eastAsia="Times New Roman" w:hAnsi="Arial" w:cs="Arial"/>
                <w:lang w:eastAsia="en-GB"/>
              </w:rPr>
            </w:pPr>
          </w:p>
          <w:p w14:paraId="4D3FE443" w14:textId="77777777" w:rsidR="00541DE7" w:rsidRPr="00587EE5" w:rsidRDefault="00541DE7" w:rsidP="004B3D3B">
            <w:pPr>
              <w:spacing w:after="0" w:line="240" w:lineRule="auto"/>
              <w:rPr>
                <w:rFonts w:ascii="Arial" w:eastAsia="Times New Roman" w:hAnsi="Arial" w:cs="Arial"/>
                <w:lang w:eastAsia="en-GB"/>
              </w:rPr>
            </w:pPr>
          </w:p>
          <w:p w14:paraId="2724C43F" w14:textId="77777777" w:rsidR="00541DE7" w:rsidRPr="00587EE5" w:rsidRDefault="00541DE7" w:rsidP="004B3D3B">
            <w:pPr>
              <w:spacing w:after="0" w:line="240" w:lineRule="auto"/>
              <w:rPr>
                <w:rFonts w:ascii="Arial" w:eastAsia="Times New Roman" w:hAnsi="Arial" w:cs="Arial"/>
                <w:lang w:eastAsia="en-GB"/>
              </w:rPr>
            </w:pPr>
          </w:p>
          <w:p w14:paraId="48895990" w14:textId="77777777" w:rsidR="00541DE7" w:rsidRPr="00587EE5" w:rsidRDefault="00541DE7" w:rsidP="004B3D3B">
            <w:pPr>
              <w:spacing w:after="0" w:line="240" w:lineRule="auto"/>
              <w:rPr>
                <w:rFonts w:ascii="Arial" w:eastAsia="Times New Roman" w:hAnsi="Arial" w:cs="Arial"/>
                <w:lang w:eastAsia="en-GB"/>
              </w:rPr>
            </w:pPr>
          </w:p>
          <w:p w14:paraId="583DB763" w14:textId="77777777" w:rsidR="00541DE7" w:rsidRPr="00587EE5" w:rsidRDefault="00541DE7" w:rsidP="004B3D3B">
            <w:pPr>
              <w:spacing w:after="0" w:line="240" w:lineRule="auto"/>
              <w:rPr>
                <w:rFonts w:ascii="Arial" w:eastAsia="Times New Roman" w:hAnsi="Arial" w:cs="Arial"/>
                <w:b/>
                <w:lang w:eastAsia="en-GB"/>
              </w:rPr>
            </w:pPr>
          </w:p>
          <w:p w14:paraId="52B13525" w14:textId="77777777" w:rsidR="00541DE7" w:rsidRPr="00587EE5" w:rsidRDefault="00541DE7" w:rsidP="004B3D3B">
            <w:pPr>
              <w:spacing w:after="0" w:line="240" w:lineRule="auto"/>
              <w:rPr>
                <w:rFonts w:ascii="Arial" w:eastAsia="Times New Roman" w:hAnsi="Arial" w:cs="Arial"/>
                <w:lang w:eastAsia="en-GB"/>
              </w:rPr>
            </w:pPr>
          </w:p>
        </w:tc>
      </w:tr>
      <w:tr w:rsidR="00587EE5" w:rsidRPr="00EB38B7" w14:paraId="1C46B80F" w14:textId="77777777" w:rsidTr="00587EE5">
        <w:trPr>
          <w:cantSplit/>
          <w:trHeight w:hRule="exact" w:val="1536"/>
        </w:trPr>
        <w:tc>
          <w:tcPr>
            <w:tcW w:w="2930" w:type="dxa"/>
            <w:tcBorders>
              <w:top w:val="single" w:sz="4" w:space="0" w:color="auto"/>
              <w:left w:val="single" w:sz="4" w:space="0" w:color="auto"/>
              <w:bottom w:val="single" w:sz="4" w:space="0" w:color="auto"/>
              <w:right w:val="single" w:sz="4" w:space="0" w:color="auto"/>
            </w:tcBorders>
          </w:tcPr>
          <w:p w14:paraId="020F0109" w14:textId="77777777" w:rsidR="00587EE5" w:rsidRPr="00CA712F" w:rsidRDefault="00587EE5" w:rsidP="00587EE5">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Appendices:</w:t>
            </w:r>
          </w:p>
          <w:p w14:paraId="1F9AF044" w14:textId="77777777" w:rsidR="00587EE5" w:rsidRPr="00CA712F" w:rsidRDefault="00587EE5" w:rsidP="00587EE5">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14A77224"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Appendix 1:</w:t>
            </w:r>
            <w:r w:rsidRPr="00587EE5">
              <w:rPr>
                <w:rFonts w:ascii="Arial" w:eastAsia="Times New Roman" w:hAnsi="Arial" w:cs="Arial"/>
                <w:lang w:eastAsia="en-GB"/>
              </w:rPr>
              <w:t xml:space="preserve">  Ward and divisional fill rates by month against adjusted standard planned template. </w:t>
            </w:r>
          </w:p>
          <w:p w14:paraId="76D28793"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Appendix 2</w:t>
            </w:r>
            <w:r w:rsidRPr="00587EE5">
              <w:rPr>
                <w:rFonts w:ascii="Arial" w:eastAsia="Times New Roman" w:hAnsi="Arial" w:cs="Arial"/>
                <w:lang w:eastAsia="en-GB"/>
              </w:rPr>
              <w:t>: Ward and divisional CHPPD data</w:t>
            </w:r>
          </w:p>
          <w:p w14:paraId="05A8019A"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 xml:space="preserve">Appendix 3: </w:t>
            </w:r>
            <w:r w:rsidRPr="00587EE5">
              <w:rPr>
                <w:rFonts w:ascii="Arial" w:hAnsi="Arial" w:cs="Arial"/>
              </w:rPr>
              <w:t xml:space="preserve">Nursing red flags </w:t>
            </w:r>
          </w:p>
          <w:p w14:paraId="19521357" w14:textId="77777777" w:rsidR="00587EE5" w:rsidRPr="00587EE5" w:rsidRDefault="00587EE5" w:rsidP="00587EE5">
            <w:pPr>
              <w:spacing w:after="0" w:line="240" w:lineRule="auto"/>
              <w:rPr>
                <w:rFonts w:ascii="Arial" w:eastAsia="Times New Roman" w:hAnsi="Arial" w:cs="Arial"/>
                <w:b/>
                <w:lang w:eastAsia="en-GB"/>
              </w:rPr>
            </w:pPr>
            <w:r w:rsidRPr="00587EE5">
              <w:rPr>
                <w:rFonts w:ascii="Arial" w:eastAsia="Times New Roman" w:hAnsi="Arial" w:cs="Arial"/>
                <w:b/>
                <w:lang w:eastAsia="en-GB"/>
              </w:rPr>
              <w:t xml:space="preserve">Appendix 4: </w:t>
            </w:r>
            <w:r w:rsidRPr="00587EE5">
              <w:rPr>
                <w:rFonts w:ascii="Arial" w:eastAsia="Times New Roman" w:hAnsi="Arial" w:cs="Arial"/>
                <w:lang w:eastAsia="en-GB"/>
              </w:rPr>
              <w:t>Nursing quality indicators</w:t>
            </w:r>
          </w:p>
          <w:p w14:paraId="7CBCB264" w14:textId="77777777" w:rsidR="00587EE5" w:rsidRPr="00587EE5" w:rsidRDefault="00587EE5" w:rsidP="00587EE5">
            <w:pPr>
              <w:spacing w:after="0" w:line="240" w:lineRule="auto"/>
              <w:rPr>
                <w:rFonts w:ascii="Arial" w:eastAsia="Times New Roman" w:hAnsi="Arial" w:cs="Arial"/>
                <w:lang w:eastAsia="en-GB"/>
              </w:rPr>
            </w:pPr>
          </w:p>
          <w:p w14:paraId="6E149299" w14:textId="77777777" w:rsidR="00587EE5" w:rsidRPr="00587EE5" w:rsidRDefault="00587EE5" w:rsidP="00587EE5">
            <w:pPr>
              <w:spacing w:after="0" w:line="240" w:lineRule="auto"/>
              <w:rPr>
                <w:rFonts w:ascii="Arial" w:eastAsia="Times New Roman" w:hAnsi="Arial" w:cs="Arial"/>
                <w:lang w:eastAsia="en-GB"/>
              </w:rPr>
            </w:pPr>
          </w:p>
          <w:p w14:paraId="2648E38E" w14:textId="77777777" w:rsidR="00587EE5" w:rsidRPr="00587EE5" w:rsidRDefault="00587EE5" w:rsidP="00587EE5">
            <w:pPr>
              <w:spacing w:after="0" w:line="240" w:lineRule="auto"/>
              <w:rPr>
                <w:rFonts w:ascii="Arial" w:eastAsia="Times New Roman" w:hAnsi="Arial" w:cs="Arial"/>
                <w:lang w:eastAsia="en-GB"/>
              </w:rPr>
            </w:pPr>
          </w:p>
          <w:p w14:paraId="16001588" w14:textId="77777777" w:rsidR="00587EE5" w:rsidRPr="00587EE5" w:rsidRDefault="00587EE5" w:rsidP="00587EE5">
            <w:pPr>
              <w:spacing w:after="0" w:line="240" w:lineRule="auto"/>
              <w:rPr>
                <w:rFonts w:ascii="Arial" w:eastAsia="Times New Roman" w:hAnsi="Arial" w:cs="Arial"/>
                <w:lang w:eastAsia="en-GB"/>
              </w:rPr>
            </w:pPr>
          </w:p>
        </w:tc>
      </w:tr>
    </w:tbl>
    <w:p w14:paraId="4A2C225B" w14:textId="77777777" w:rsidR="00196127" w:rsidRDefault="00196127" w:rsidP="0026390F">
      <w:pPr>
        <w:spacing w:after="0"/>
        <w:rPr>
          <w:rFonts w:ascii="Arial" w:hAnsi="Arial" w:cs="Arial"/>
          <w:b/>
          <w:color w:val="005EB8"/>
        </w:rPr>
      </w:pPr>
    </w:p>
    <w:p w14:paraId="380BFB59" w14:textId="098B0EDF" w:rsidR="00B84FB3" w:rsidRPr="00037267" w:rsidRDefault="00B84FB3" w:rsidP="003F4460">
      <w:pPr>
        <w:spacing w:before="240" w:after="0" w:line="240" w:lineRule="auto"/>
        <w:rPr>
          <w:rFonts w:ascii="Arial" w:hAnsi="Arial" w:cs="Arial"/>
          <w:b/>
          <w:color w:val="005EB8"/>
        </w:rPr>
      </w:pPr>
      <w:r w:rsidRPr="00037267">
        <w:rPr>
          <w:rFonts w:ascii="Arial" w:hAnsi="Arial" w:cs="Arial"/>
          <w:b/>
          <w:color w:val="005EB8"/>
        </w:rPr>
        <w:lastRenderedPageBreak/>
        <w:t>Executive Summary</w:t>
      </w:r>
    </w:p>
    <w:p w14:paraId="6A032412"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Safe staffing was maintained in November with reasonable assurance, supported by daily safety huddles, redeployment, and use of temporary staffing. Registered fill rates remained strong, and no wards fell below the minimum threshold. However, the position remains safe but fragile.</w:t>
      </w:r>
    </w:p>
    <w:p w14:paraId="158BBBBB"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Persistent pressures include high enhanced care demand, an increase in Red Flags, and CHPPD remaining below national benchmarks, reflecting sustained acuity-driven workload. These pressures correlate with upward trends in harm, particularly falls and pressure ulcers, and with patient experience themes relating to delays and communication, most notably within the Emergency Department (ED). Maternity and Paediatric ED continue to demonstrate fragility in HCSW cover, mitigated through Birthrate Plus deployment and targeted shift adjustments.</w:t>
      </w:r>
    </w:p>
    <w:p w14:paraId="2CADABB5" w14:textId="77777777" w:rsidR="002F35EC" w:rsidRPr="00D765A7" w:rsidRDefault="002F35EC" w:rsidP="002F35EC">
      <w:pPr>
        <w:spacing w:before="100" w:beforeAutospacing="1" w:after="100" w:afterAutospacing="1" w:line="240" w:lineRule="auto"/>
        <w:rPr>
          <w:rFonts w:ascii="Arial" w:hAnsi="Arial" w:cs="Arial"/>
        </w:rPr>
      </w:pPr>
      <w:r w:rsidRPr="00BC2C0A">
        <w:rPr>
          <w:rFonts w:ascii="Arial" w:eastAsia="Times New Roman" w:hAnsi="Arial" w:cs="Arial"/>
          <w:lang w:eastAsia="en-GB"/>
        </w:rPr>
        <w:t xml:space="preserve">Positive actions provide assurance that risks are being actively managed. These include improved redeployment practices, proactive escalation via Datix, strong mandatory training compliance, and implementation of targeted improvement plans. Recruitment of newly qualified nurses and the completion of the establishment review will further strengthen workforce resilience. However, immediate priorities remain enhanced care workforce planning, </w:t>
      </w:r>
      <w:r w:rsidRPr="00D765A7">
        <w:rPr>
          <w:rFonts w:ascii="Arial" w:hAnsi="Arial" w:cs="Arial"/>
        </w:rPr>
        <w:t xml:space="preserve">red flag closure compliance on SafeCare, and focused support for maternity and ED. </w:t>
      </w:r>
    </w:p>
    <w:p w14:paraId="1DA11021"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Overall judgement: Staffing was safe in November; however, continued close oversight and proactive workforce planning are required to sustain assurance.</w:t>
      </w:r>
    </w:p>
    <w:p w14:paraId="1A2ED806" w14:textId="11DB139D" w:rsidR="0000058F" w:rsidRPr="00037267" w:rsidRDefault="009A108B" w:rsidP="003F4460">
      <w:pPr>
        <w:spacing w:before="240" w:after="0" w:line="240" w:lineRule="auto"/>
        <w:rPr>
          <w:rFonts w:ascii="Arial" w:hAnsi="Arial" w:cs="Arial"/>
          <w:b/>
          <w:color w:val="005EB8"/>
        </w:rPr>
      </w:pPr>
      <w:r w:rsidRPr="00037267">
        <w:rPr>
          <w:rFonts w:ascii="Arial" w:hAnsi="Arial" w:cs="Arial"/>
          <w:b/>
          <w:color w:val="005EB8"/>
        </w:rPr>
        <w:t>1.0</w:t>
      </w:r>
      <w:r w:rsidRPr="00037267">
        <w:rPr>
          <w:rFonts w:ascii="Arial" w:hAnsi="Arial" w:cs="Arial"/>
          <w:b/>
          <w:color w:val="005EB8"/>
        </w:rPr>
        <w:tab/>
        <w:t xml:space="preserve"> Introduction</w:t>
      </w:r>
    </w:p>
    <w:p w14:paraId="5E32ECB6" w14:textId="77777777" w:rsidR="002F35EC" w:rsidRPr="00D765A7" w:rsidRDefault="002F35EC" w:rsidP="002F35EC">
      <w:pPr>
        <w:spacing w:before="240" w:after="0" w:line="240" w:lineRule="auto"/>
        <w:jc w:val="both"/>
        <w:rPr>
          <w:rFonts w:ascii="Arial" w:hAnsi="Arial" w:cs="Arial"/>
          <w:b/>
          <w:bCs/>
        </w:rPr>
      </w:pPr>
      <w:r w:rsidRPr="00D765A7">
        <w:rPr>
          <w:rFonts w:ascii="Arial" w:hAnsi="Arial" w:cs="Arial"/>
        </w:rPr>
        <w:t xml:space="preserve">This paper outlines how </w:t>
      </w:r>
      <w:r w:rsidRPr="00D765A7">
        <w:rPr>
          <w:rStyle w:val="Strong"/>
          <w:rFonts w:ascii="Arial" w:hAnsi="Arial" w:cs="Arial"/>
          <w:b w:val="0"/>
          <w:bCs w:val="0"/>
        </w:rPr>
        <w:t>nursing and midwifery staffing at the Princess Alexandra Hospital Trust (PAHT)</w:t>
      </w:r>
      <w:r w:rsidRPr="00D765A7">
        <w:rPr>
          <w:rFonts w:ascii="Arial" w:hAnsi="Arial" w:cs="Arial"/>
        </w:rPr>
        <w:t xml:space="preserve"> was deployed during </w:t>
      </w:r>
      <w:r w:rsidRPr="00D765A7">
        <w:rPr>
          <w:rStyle w:val="Strong"/>
          <w:rFonts w:ascii="Arial" w:hAnsi="Arial" w:cs="Arial"/>
          <w:b w:val="0"/>
          <w:bCs w:val="0"/>
        </w:rPr>
        <w:t>November 2025</w:t>
      </w:r>
      <w:r w:rsidRPr="00D765A7">
        <w:rPr>
          <w:rFonts w:ascii="Arial" w:hAnsi="Arial" w:cs="Arial"/>
        </w:rPr>
        <w:t xml:space="preserve">, demonstrating how </w:t>
      </w:r>
      <w:r w:rsidRPr="00D765A7">
        <w:rPr>
          <w:rStyle w:val="Strong"/>
          <w:rFonts w:ascii="Arial" w:hAnsi="Arial" w:cs="Arial"/>
          <w:b w:val="0"/>
          <w:bCs w:val="0"/>
        </w:rPr>
        <w:t>safe staffing levels were achieved and maintained</w:t>
      </w:r>
      <w:r w:rsidRPr="00D765A7">
        <w:rPr>
          <w:rFonts w:ascii="Arial" w:hAnsi="Arial" w:cs="Arial"/>
          <w:b/>
          <w:bCs/>
        </w:rPr>
        <w:t>.</w:t>
      </w:r>
      <w:r w:rsidRPr="00D765A7">
        <w:rPr>
          <w:rFonts w:ascii="Arial" w:hAnsi="Arial" w:cs="Arial"/>
        </w:rPr>
        <w:t xml:space="preserve"> It also sets out how this position has been supported through </w:t>
      </w:r>
      <w:r w:rsidRPr="00D765A7">
        <w:rPr>
          <w:rStyle w:val="Strong"/>
          <w:rFonts w:ascii="Arial" w:hAnsi="Arial" w:cs="Arial"/>
          <w:b w:val="0"/>
          <w:bCs w:val="0"/>
        </w:rPr>
        <w:t>targeted recruitment, effective deployment, and workforce management arrangements</w:t>
      </w:r>
      <w:r w:rsidRPr="00D765A7">
        <w:rPr>
          <w:rFonts w:ascii="Arial" w:hAnsi="Arial" w:cs="Arial"/>
          <w:b/>
          <w:bCs/>
        </w:rPr>
        <w:t>.</w:t>
      </w:r>
    </w:p>
    <w:p w14:paraId="0A05D123" w14:textId="77777777" w:rsidR="009A108B" w:rsidRPr="00037267" w:rsidRDefault="009A108B" w:rsidP="003F4460">
      <w:pPr>
        <w:spacing w:before="240" w:after="0" w:line="240" w:lineRule="auto"/>
        <w:jc w:val="both"/>
        <w:rPr>
          <w:rFonts w:ascii="Arial" w:hAnsi="Arial" w:cs="Arial"/>
          <w:b/>
          <w:color w:val="005EB8"/>
        </w:rPr>
      </w:pPr>
      <w:r w:rsidRPr="00037267">
        <w:rPr>
          <w:rFonts w:ascii="Arial" w:hAnsi="Arial" w:cs="Arial"/>
          <w:b/>
          <w:color w:val="005EB8"/>
        </w:rPr>
        <w:t>2.0</w:t>
      </w:r>
      <w:r w:rsidRPr="00037267">
        <w:rPr>
          <w:rFonts w:ascii="Arial" w:hAnsi="Arial" w:cs="Arial"/>
          <w:b/>
          <w:color w:val="005EB8"/>
        </w:rPr>
        <w:tab/>
        <w:t xml:space="preserve"> Background</w:t>
      </w:r>
    </w:p>
    <w:p w14:paraId="106DD36A"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The National Quality Board (NQB, 2016) recommends that monthly actual staffing data is compared with expected staffing levels and reviewed alongside indicators of quality of care, patient safety, and patient and staff experience. The Trust remains committed to ensuring that improvements are identified, learned from and celebrated, and that emerging risks are recognised and addressed promptly.</w:t>
      </w:r>
    </w:p>
    <w:p w14:paraId="6054435A"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This paper presents nursing and midwifery staffing data and associated actions for November 2025. The sections that follow set out the governance, assurance and operational processes in place to demonstrate how the Trust proactively manages nursing and midwifery staffing in support of safe, high-quality patient care.</w:t>
      </w:r>
    </w:p>
    <w:p w14:paraId="34DBBB88" w14:textId="77777777" w:rsidR="00F7078A" w:rsidRPr="00037267" w:rsidRDefault="009A108B" w:rsidP="003F4460">
      <w:pPr>
        <w:spacing w:before="240" w:after="0" w:line="240" w:lineRule="auto"/>
        <w:jc w:val="both"/>
        <w:rPr>
          <w:rFonts w:ascii="Arial" w:hAnsi="Arial" w:cs="Arial"/>
          <w:b/>
          <w:color w:val="005EB8"/>
        </w:rPr>
      </w:pPr>
      <w:r w:rsidRPr="00037267">
        <w:rPr>
          <w:rFonts w:ascii="Arial" w:hAnsi="Arial" w:cs="Arial"/>
          <w:b/>
          <w:color w:val="005EB8"/>
        </w:rPr>
        <w:t>3.0</w:t>
      </w:r>
      <w:r w:rsidRPr="00037267">
        <w:rPr>
          <w:rFonts w:ascii="Arial" w:hAnsi="Arial" w:cs="Arial"/>
          <w:b/>
          <w:color w:val="005EB8"/>
        </w:rPr>
        <w:tab/>
      </w:r>
      <w:r w:rsidR="00BF75A2" w:rsidRPr="00037267">
        <w:rPr>
          <w:rFonts w:ascii="Arial" w:hAnsi="Arial" w:cs="Arial"/>
          <w:b/>
          <w:color w:val="005EB8"/>
        </w:rPr>
        <w:t xml:space="preserve">Inpatient </w:t>
      </w:r>
      <w:r w:rsidR="00A25E1C" w:rsidRPr="00037267">
        <w:rPr>
          <w:rFonts w:ascii="Arial" w:hAnsi="Arial" w:cs="Arial"/>
          <w:b/>
          <w:color w:val="005EB8"/>
        </w:rPr>
        <w:t>w</w:t>
      </w:r>
      <w:r w:rsidR="00BF75A2" w:rsidRPr="00037267">
        <w:rPr>
          <w:rFonts w:ascii="Arial" w:hAnsi="Arial" w:cs="Arial"/>
          <w:b/>
          <w:color w:val="005EB8"/>
        </w:rPr>
        <w:t>ards</w:t>
      </w:r>
      <w:r w:rsidR="0046186F" w:rsidRPr="00037267">
        <w:rPr>
          <w:rFonts w:ascii="Arial" w:hAnsi="Arial" w:cs="Arial"/>
          <w:b/>
          <w:color w:val="005EB8"/>
        </w:rPr>
        <w:t xml:space="preserve"> </w:t>
      </w:r>
      <w:r w:rsidR="007945A7" w:rsidRPr="00037267">
        <w:rPr>
          <w:rFonts w:ascii="Arial" w:hAnsi="Arial" w:cs="Arial"/>
          <w:b/>
          <w:color w:val="005EB8"/>
        </w:rPr>
        <w:t>f</w:t>
      </w:r>
      <w:r w:rsidR="0046186F" w:rsidRPr="00037267">
        <w:rPr>
          <w:rFonts w:ascii="Arial" w:hAnsi="Arial" w:cs="Arial"/>
          <w:b/>
          <w:color w:val="005EB8"/>
        </w:rPr>
        <w:t>ill</w:t>
      </w:r>
      <w:r w:rsidRPr="00037267">
        <w:rPr>
          <w:rFonts w:ascii="Arial" w:hAnsi="Arial" w:cs="Arial"/>
          <w:b/>
          <w:color w:val="005EB8"/>
        </w:rPr>
        <w:t xml:space="preserve"> </w:t>
      </w:r>
      <w:r w:rsidR="0046186F" w:rsidRPr="00037267">
        <w:rPr>
          <w:rFonts w:ascii="Arial" w:hAnsi="Arial" w:cs="Arial"/>
          <w:b/>
          <w:color w:val="005EB8"/>
        </w:rPr>
        <w:t>rate</w:t>
      </w:r>
    </w:p>
    <w:p w14:paraId="747D4E12"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The Trust’s safer staffing submission for November 2025 was submitted to NHS Digital within the required data submission timeframe. Table 1 presents a summary of the overall fill rate for the month, while Table 2 provides the overall fill rate percentages across a rolling 12-month period.</w:t>
      </w:r>
    </w:p>
    <w:p w14:paraId="06290F30"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b/>
          <w:bCs/>
          <w:lang w:eastAsia="en-GB"/>
        </w:rPr>
        <w:t>Appendix 1</w:t>
      </w:r>
      <w:r w:rsidRPr="00BC2C0A">
        <w:rPr>
          <w:rFonts w:ascii="Arial" w:eastAsia="Times New Roman" w:hAnsi="Arial" w:cs="Arial"/>
          <w:lang w:eastAsia="en-GB"/>
        </w:rPr>
        <w:t xml:space="preserve"> sets out a ward-by-ward breakdown for the same period.</w:t>
      </w:r>
    </w:p>
    <w:p w14:paraId="15D087FB" w14:textId="77777777" w:rsidR="002F35EC" w:rsidRDefault="002F35EC" w:rsidP="002F35EC">
      <w:pPr>
        <w:spacing w:before="240" w:line="240" w:lineRule="auto"/>
        <w:jc w:val="both"/>
        <w:rPr>
          <w:rFonts w:ascii="Arial" w:hAnsi="Arial" w:cs="Arial"/>
          <w:bCs/>
        </w:rPr>
      </w:pPr>
      <w:r w:rsidRPr="00E61F19">
        <w:rPr>
          <w:rFonts w:ascii="Arial" w:hAnsi="Arial" w:cs="Arial"/>
          <w:b/>
          <w:bCs/>
          <w:color w:val="005EB8"/>
        </w:rPr>
        <w:t>3.1</w:t>
      </w:r>
      <w:r w:rsidRPr="00E61F19">
        <w:rPr>
          <w:rFonts w:ascii="Arial" w:hAnsi="Arial" w:cs="Arial"/>
          <w:b/>
          <w:bCs/>
          <w:color w:val="005EB8"/>
        </w:rPr>
        <w:tab/>
      </w:r>
      <w:r w:rsidRPr="007E75C3">
        <w:rPr>
          <w:rFonts w:ascii="Arial" w:hAnsi="Arial" w:cs="Arial"/>
          <w:b/>
          <w:bCs/>
          <w:color w:val="005EB8"/>
        </w:rPr>
        <w:t>Wards with &lt; 75% average fill rate</w:t>
      </w:r>
      <w:bookmarkStart w:id="0" w:name="_Hlk185339204"/>
    </w:p>
    <w:p w14:paraId="7BFD5CB4" w14:textId="77777777" w:rsidR="002F35EC" w:rsidRPr="00BC2C0A" w:rsidRDefault="002F35EC" w:rsidP="002F35EC">
      <w:pPr>
        <w:spacing w:before="240" w:line="240" w:lineRule="auto"/>
        <w:jc w:val="both"/>
        <w:rPr>
          <w:rFonts w:ascii="Arial" w:hAnsi="Arial" w:cs="Arial"/>
        </w:rPr>
      </w:pPr>
      <w:r w:rsidRPr="00BC2C0A">
        <w:rPr>
          <w:rFonts w:ascii="Arial" w:hAnsi="Arial" w:cs="Arial"/>
        </w:rPr>
        <w:t xml:space="preserve">No wards recorded an </w:t>
      </w:r>
      <w:r w:rsidRPr="00BC2C0A">
        <w:rPr>
          <w:rStyle w:val="Strong"/>
          <w:rFonts w:ascii="Arial" w:hAnsi="Arial" w:cs="Arial"/>
          <w:b w:val="0"/>
          <w:bCs w:val="0"/>
        </w:rPr>
        <w:t>average fill rate below 75%</w:t>
      </w:r>
      <w:r w:rsidRPr="00BC2C0A">
        <w:rPr>
          <w:rFonts w:ascii="Arial" w:hAnsi="Arial" w:cs="Arial"/>
        </w:rPr>
        <w:t xml:space="preserve"> during </w:t>
      </w:r>
      <w:r w:rsidRPr="00BC2C0A">
        <w:rPr>
          <w:rStyle w:val="Strong"/>
          <w:rFonts w:ascii="Arial" w:hAnsi="Arial" w:cs="Arial"/>
          <w:b w:val="0"/>
          <w:bCs w:val="0"/>
        </w:rPr>
        <w:t>November</w:t>
      </w:r>
      <w:r>
        <w:rPr>
          <w:rStyle w:val="Strong"/>
          <w:rFonts w:ascii="Arial" w:hAnsi="Arial" w:cs="Arial"/>
          <w:b w:val="0"/>
          <w:bCs w:val="0"/>
        </w:rPr>
        <w:t xml:space="preserve"> 2025</w:t>
      </w:r>
      <w:r w:rsidRPr="00BC2C0A">
        <w:rPr>
          <w:rFonts w:ascii="Arial" w:hAnsi="Arial" w:cs="Arial"/>
        </w:rPr>
        <w:t>.</w:t>
      </w:r>
    </w:p>
    <w:p w14:paraId="41DA7242" w14:textId="77777777" w:rsidR="002F35EC" w:rsidRPr="00E61F19" w:rsidRDefault="002F35EC" w:rsidP="002F35EC">
      <w:pPr>
        <w:spacing w:before="240" w:line="240" w:lineRule="auto"/>
        <w:jc w:val="both"/>
        <w:rPr>
          <w:rFonts w:ascii="Arial" w:hAnsi="Arial" w:cs="Arial"/>
          <w:b/>
          <w:color w:val="005EB8"/>
        </w:rPr>
      </w:pPr>
      <w:r w:rsidRPr="007E75C3">
        <w:rPr>
          <w:rFonts w:ascii="Arial" w:hAnsi="Arial" w:cs="Arial"/>
          <w:b/>
          <w:color w:val="005EB8"/>
        </w:rPr>
        <w:lastRenderedPageBreak/>
        <w:t>3.2</w:t>
      </w:r>
      <w:r w:rsidRPr="007E75C3">
        <w:rPr>
          <w:rFonts w:ascii="Arial" w:hAnsi="Arial" w:cs="Arial"/>
          <w:b/>
          <w:color w:val="005EB8"/>
        </w:rPr>
        <w:tab/>
      </w:r>
      <w:r w:rsidRPr="00DE2EBD">
        <w:rPr>
          <w:rFonts w:ascii="Arial" w:hAnsi="Arial" w:cs="Arial"/>
          <w:b/>
          <w:bCs/>
          <w:color w:val="005EB8"/>
        </w:rPr>
        <w:t>Wards with &gt; 100% average fill rate</w:t>
      </w:r>
      <w:r w:rsidRPr="007E75C3">
        <w:rPr>
          <w:rFonts w:ascii="Arial" w:hAnsi="Arial" w:cs="Arial"/>
          <w:b/>
          <w:bCs/>
          <w:color w:val="005EB8"/>
        </w:rPr>
        <w:t xml:space="preserve"> </w:t>
      </w:r>
    </w:p>
    <w:bookmarkEnd w:id="0"/>
    <w:p w14:paraId="745E1408" w14:textId="77777777" w:rsidR="002F35EC" w:rsidRPr="00BC2C0A" w:rsidRDefault="002F35EC" w:rsidP="002F35EC">
      <w:pPr>
        <w:spacing w:before="100" w:beforeAutospacing="1" w:after="100" w:afterAutospacing="1" w:line="240" w:lineRule="auto"/>
        <w:rPr>
          <w:rFonts w:ascii="Arial" w:eastAsia="Times New Roman" w:hAnsi="Arial" w:cs="Arial"/>
          <w:lang w:eastAsia="en-GB"/>
        </w:rPr>
      </w:pPr>
      <w:r w:rsidRPr="00BC2C0A">
        <w:rPr>
          <w:rFonts w:ascii="Arial" w:eastAsia="Times New Roman" w:hAnsi="Arial" w:cs="Arial"/>
          <w:lang w:eastAsia="en-GB"/>
        </w:rPr>
        <w:t>Henry Moore Ward continues to report an increased fill rate, reflecting fluctuating capacity, the opening of additional surgical beds, and the establishment of a Level 1 post-operative care area. The Level 1 bay is funded through the ITU establishment, and the additional staffing therefore reflects the workforce required to safely meet increased activity and acuity. Board-approved establishment changes have been applied to the roster from 22 December 2025 and will be reflected in future reports.</w:t>
      </w:r>
    </w:p>
    <w:p w14:paraId="5A15EA37" w14:textId="5560C9C3" w:rsidR="002F35EC" w:rsidRPr="002F35EC" w:rsidRDefault="002F35EC" w:rsidP="002F35EC">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Healthcare Support Worker (HCSW)</w:t>
      </w:r>
      <w:r w:rsidRPr="00BC2C0A">
        <w:rPr>
          <w:rFonts w:ascii="Arial" w:eastAsia="Times New Roman" w:hAnsi="Arial" w:cs="Arial"/>
          <w:lang w:eastAsia="en-GB"/>
        </w:rPr>
        <w:t xml:space="preserve"> fill rates exceeding 100% remain primarily attributable to high patient</w:t>
      </w:r>
      <w:r w:rsidRPr="00BC2C0A">
        <w:rPr>
          <w:rFonts w:ascii="Arial" w:eastAsia="Times New Roman" w:hAnsi="Arial" w:cs="Arial"/>
          <w:b/>
          <w:bCs/>
          <w:lang w:eastAsia="en-GB"/>
        </w:rPr>
        <w:t xml:space="preserve"> </w:t>
      </w:r>
      <w:r w:rsidRPr="00BC2C0A">
        <w:rPr>
          <w:rFonts w:ascii="Arial" w:eastAsia="Times New Roman" w:hAnsi="Arial" w:cs="Arial"/>
          <w:lang w:eastAsia="en-GB"/>
        </w:rPr>
        <w:t>acuity and enhanced care requirements.</w:t>
      </w:r>
      <w:r>
        <w:rPr>
          <w:rFonts w:ascii="Arial" w:eastAsia="Times New Roman" w:hAnsi="Arial" w:cs="Arial"/>
          <w:lang w:eastAsia="en-GB"/>
        </w:rPr>
        <w:t xml:space="preserve"> </w:t>
      </w:r>
    </w:p>
    <w:p w14:paraId="3430F94C" w14:textId="77777777" w:rsidR="002F35EC" w:rsidRDefault="002F35EC" w:rsidP="002F35EC">
      <w:pPr>
        <w:spacing w:before="240" w:line="240" w:lineRule="auto"/>
        <w:jc w:val="both"/>
        <w:rPr>
          <w:rFonts w:ascii="Arial" w:hAnsi="Arial" w:cs="Arial"/>
          <w:b/>
          <w:color w:val="005EB8"/>
        </w:rPr>
      </w:pPr>
      <w:r w:rsidRPr="008E73D2">
        <w:rPr>
          <w:rFonts w:ascii="Arial" w:hAnsi="Arial" w:cs="Arial"/>
          <w:b/>
          <w:color w:val="005EB8"/>
        </w:rPr>
        <w:t>3.</w:t>
      </w:r>
      <w:r>
        <w:rPr>
          <w:rFonts w:ascii="Arial" w:hAnsi="Arial" w:cs="Arial"/>
          <w:b/>
          <w:color w:val="005EB8"/>
        </w:rPr>
        <w:t>3</w:t>
      </w:r>
      <w:r w:rsidRPr="008E73D2">
        <w:rPr>
          <w:rFonts w:ascii="Arial" w:hAnsi="Arial" w:cs="Arial"/>
          <w:b/>
          <w:color w:val="005EB8"/>
        </w:rPr>
        <w:t xml:space="preserve"> </w:t>
      </w:r>
      <w:r>
        <w:rPr>
          <w:rFonts w:ascii="Arial" w:hAnsi="Arial" w:cs="Arial"/>
          <w:b/>
          <w:color w:val="005EB8"/>
        </w:rPr>
        <w:tab/>
      </w:r>
      <w:r w:rsidRPr="008E73D2">
        <w:rPr>
          <w:rFonts w:ascii="Arial" w:hAnsi="Arial" w:cs="Arial"/>
          <w:b/>
          <w:color w:val="005EB8"/>
        </w:rPr>
        <w:t>Mitigation and Governance</w:t>
      </w:r>
    </w:p>
    <w:p w14:paraId="55D8B8E4" w14:textId="77777777" w:rsidR="002F35EC" w:rsidRPr="00BC2C0A" w:rsidRDefault="002F35EC" w:rsidP="002F35EC">
      <w:pPr>
        <w:spacing w:before="240" w:line="240" w:lineRule="auto"/>
        <w:jc w:val="both"/>
        <w:rPr>
          <w:rStyle w:val="Strong"/>
          <w:rFonts w:ascii="Arial" w:hAnsi="Arial" w:cs="Arial"/>
          <w:b w:val="0"/>
          <w:bCs w:val="0"/>
        </w:rPr>
      </w:pPr>
      <w:r w:rsidRPr="00BC2C0A">
        <w:rPr>
          <w:rFonts w:ascii="Arial" w:hAnsi="Arial" w:cs="Arial"/>
        </w:rPr>
        <w:t xml:space="preserve">To maintain </w:t>
      </w:r>
      <w:r w:rsidRPr="00BC2C0A">
        <w:rPr>
          <w:rStyle w:val="Strong"/>
          <w:rFonts w:ascii="Arial" w:hAnsi="Arial" w:cs="Arial"/>
          <w:b w:val="0"/>
          <w:bCs w:val="0"/>
        </w:rPr>
        <w:t>safe staffing during November</w:t>
      </w:r>
      <w:r w:rsidRPr="00BC2C0A">
        <w:rPr>
          <w:rFonts w:ascii="Arial" w:hAnsi="Arial" w:cs="Arial"/>
        </w:rPr>
        <w:t xml:space="preserve">, the Trust applied a range of controls underpinned by </w:t>
      </w:r>
      <w:r w:rsidRPr="00BC2C0A">
        <w:rPr>
          <w:rStyle w:val="Strong"/>
          <w:rFonts w:ascii="Arial" w:hAnsi="Arial" w:cs="Arial"/>
          <w:b w:val="0"/>
          <w:bCs w:val="0"/>
        </w:rPr>
        <w:t>robust governance arrangements</w:t>
      </w:r>
      <w:r>
        <w:rPr>
          <w:rStyle w:val="Strong"/>
          <w:rFonts w:ascii="Arial" w:hAnsi="Arial" w:cs="Arial"/>
          <w:b w:val="0"/>
          <w:bCs w:val="0"/>
        </w:rPr>
        <w:t>:</w:t>
      </w:r>
    </w:p>
    <w:p w14:paraId="7639EC53" w14:textId="77777777" w:rsidR="002F35EC" w:rsidRDefault="002F35EC" w:rsidP="002F35EC">
      <w:pPr>
        <w:numPr>
          <w:ilvl w:val="0"/>
          <w:numId w:val="14"/>
        </w:numPr>
        <w:spacing w:before="240" w:line="240" w:lineRule="auto"/>
        <w:jc w:val="both"/>
        <w:rPr>
          <w:rFonts w:ascii="Arial" w:hAnsi="Arial" w:cs="Arial"/>
          <w:bCs/>
        </w:rPr>
      </w:pPr>
      <w:r w:rsidRPr="000A07C6">
        <w:rPr>
          <w:rStyle w:val="Strong"/>
          <w:rFonts w:ascii="Arial" w:hAnsi="Arial" w:cs="Arial"/>
        </w:rPr>
        <w:t>Real-time oversight:</w:t>
      </w:r>
      <w:r w:rsidRPr="000A07C6">
        <w:rPr>
          <w:rFonts w:ascii="Arial" w:hAnsi="Arial" w:cs="Arial"/>
        </w:rPr>
        <w:t xml:space="preserve"> Daily SafeCare huddles and three-times-daily acuity and dependency reviews ensured continuous oversight of staffing and safe, informed redeployment decisions.</w:t>
      </w:r>
    </w:p>
    <w:p w14:paraId="272C22C4" w14:textId="77777777" w:rsidR="002F35EC" w:rsidRDefault="002F35EC" w:rsidP="002F35EC">
      <w:pPr>
        <w:numPr>
          <w:ilvl w:val="0"/>
          <w:numId w:val="14"/>
        </w:numPr>
        <w:spacing w:before="240" w:line="240" w:lineRule="auto"/>
        <w:jc w:val="both"/>
        <w:rPr>
          <w:rFonts w:ascii="Arial" w:hAnsi="Arial" w:cs="Arial"/>
          <w:bCs/>
        </w:rPr>
      </w:pPr>
      <w:r w:rsidRPr="000A07C6">
        <w:rPr>
          <w:rStyle w:val="Strong"/>
          <w:rFonts w:ascii="Arial" w:hAnsi="Arial" w:cs="Arial"/>
        </w:rPr>
        <w:t>Senior clinical support:</w:t>
      </w:r>
      <w:r w:rsidRPr="000A07C6">
        <w:rPr>
          <w:rFonts w:ascii="Arial" w:hAnsi="Arial" w:cs="Arial"/>
        </w:rPr>
        <w:t xml:space="preserve"> Senior nurses and midwives provided direct clinical support to areas of need when required.</w:t>
      </w:r>
    </w:p>
    <w:p w14:paraId="633E815B" w14:textId="77777777" w:rsidR="002F35EC" w:rsidRPr="000A07C6" w:rsidRDefault="002F35EC" w:rsidP="002F35EC">
      <w:pPr>
        <w:numPr>
          <w:ilvl w:val="0"/>
          <w:numId w:val="14"/>
        </w:numPr>
        <w:spacing w:before="240" w:line="240" w:lineRule="auto"/>
        <w:jc w:val="both"/>
        <w:rPr>
          <w:rFonts w:ascii="Arial" w:hAnsi="Arial" w:cs="Arial"/>
          <w:bCs/>
        </w:rPr>
      </w:pPr>
      <w:r w:rsidRPr="000A07C6">
        <w:rPr>
          <w:rFonts w:ascii="Arial" w:eastAsia="Times New Roman" w:hAnsi="Arial" w:cs="Arial"/>
          <w:b/>
          <w:bCs/>
          <w:lang w:eastAsia="en-GB"/>
        </w:rPr>
        <w:t>Temporary staffing:</w:t>
      </w:r>
      <w:r w:rsidRPr="000A07C6">
        <w:rPr>
          <w:rFonts w:ascii="Arial" w:eastAsia="Times New Roman" w:hAnsi="Arial" w:cs="Arial"/>
          <w:lang w:eastAsia="en-GB"/>
        </w:rPr>
        <w:t xml:space="preserve"> NHS</w:t>
      </w:r>
      <w:r>
        <w:rPr>
          <w:rFonts w:ascii="Arial" w:eastAsia="Times New Roman" w:hAnsi="Arial" w:cs="Arial"/>
          <w:lang w:eastAsia="en-GB"/>
        </w:rPr>
        <w:t xml:space="preserve">P </w:t>
      </w:r>
      <w:r w:rsidRPr="000A07C6">
        <w:rPr>
          <w:rFonts w:ascii="Arial" w:eastAsia="Times New Roman" w:hAnsi="Arial" w:cs="Arial"/>
          <w:lang w:eastAsia="en-GB"/>
        </w:rPr>
        <w:t>filled vacant shifts,</w:t>
      </w:r>
      <w:r>
        <w:rPr>
          <w:rFonts w:ascii="Arial" w:eastAsia="Times New Roman" w:hAnsi="Arial" w:cs="Arial"/>
          <w:lang w:eastAsia="en-GB"/>
        </w:rPr>
        <w:t xml:space="preserve"> </w:t>
      </w:r>
      <w:r w:rsidRPr="000A07C6">
        <w:rPr>
          <w:rFonts w:ascii="Arial" w:eastAsia="Times New Roman" w:hAnsi="Arial" w:cs="Arial"/>
          <w:lang w:eastAsia="en-GB"/>
        </w:rPr>
        <w:t>including RMN</w:t>
      </w:r>
      <w:r>
        <w:rPr>
          <w:rFonts w:ascii="Arial" w:eastAsia="Times New Roman" w:hAnsi="Arial" w:cs="Arial"/>
          <w:lang w:eastAsia="en-GB"/>
        </w:rPr>
        <w:t xml:space="preserve">’s </w:t>
      </w:r>
      <w:r w:rsidRPr="000A07C6">
        <w:rPr>
          <w:rFonts w:ascii="Arial" w:eastAsia="Times New Roman" w:hAnsi="Arial" w:cs="Arial"/>
          <w:lang w:eastAsia="en-GB"/>
        </w:rPr>
        <w:t>used appropriately to support patients with assessed mental health needs.</w:t>
      </w:r>
    </w:p>
    <w:p w14:paraId="6FF57D30" w14:textId="77777777" w:rsidR="002F35EC" w:rsidRDefault="002F35EC" w:rsidP="002F35EC">
      <w:pPr>
        <w:pStyle w:val="ListParagraph"/>
        <w:numPr>
          <w:ilvl w:val="0"/>
          <w:numId w:val="14"/>
        </w:numPr>
        <w:spacing w:before="100" w:beforeAutospacing="1" w:after="100" w:afterAutospacing="1" w:line="240" w:lineRule="auto"/>
        <w:rPr>
          <w:rFonts w:ascii="Arial" w:eastAsia="Times New Roman" w:hAnsi="Arial" w:cs="Arial"/>
          <w:lang w:eastAsia="en-GB"/>
        </w:rPr>
      </w:pPr>
      <w:r w:rsidRPr="000A07C6">
        <w:rPr>
          <w:rFonts w:ascii="Arial" w:eastAsia="Times New Roman" w:hAnsi="Arial" w:cs="Arial"/>
          <w:b/>
          <w:bCs/>
          <w:lang w:eastAsia="en-GB"/>
        </w:rPr>
        <w:t>Enhanced care oversight:</w:t>
      </w:r>
      <w:r w:rsidRPr="000A07C6">
        <w:rPr>
          <w:rFonts w:ascii="Arial" w:eastAsia="Times New Roman" w:hAnsi="Arial" w:cs="Arial"/>
          <w:lang w:eastAsia="en-GB"/>
        </w:rPr>
        <w:t xml:space="preserve"> A local Red Flag for unmet enhanced care and Level 3 patient tasks was introduced to improve visibility and assurance, with data shared through the Enhanced Care Collaborative.</w:t>
      </w:r>
    </w:p>
    <w:p w14:paraId="37D08151" w14:textId="77777777" w:rsidR="002F35EC" w:rsidRPr="000A07C6" w:rsidRDefault="002F35EC" w:rsidP="002F35EC">
      <w:pPr>
        <w:pStyle w:val="ListParagraph"/>
        <w:spacing w:before="100" w:beforeAutospacing="1" w:after="100" w:afterAutospacing="1" w:line="240" w:lineRule="auto"/>
        <w:rPr>
          <w:rFonts w:ascii="Arial" w:eastAsia="Times New Roman" w:hAnsi="Arial" w:cs="Arial"/>
          <w:lang w:eastAsia="en-GB"/>
        </w:rPr>
      </w:pPr>
    </w:p>
    <w:p w14:paraId="54FDC309" w14:textId="77777777" w:rsidR="002F35EC" w:rsidRPr="000A07C6" w:rsidRDefault="002F35EC" w:rsidP="002F35EC">
      <w:pPr>
        <w:pStyle w:val="ListParagraph"/>
        <w:numPr>
          <w:ilvl w:val="0"/>
          <w:numId w:val="14"/>
        </w:numPr>
        <w:spacing w:before="100" w:beforeAutospacing="1" w:after="100" w:afterAutospacing="1" w:line="240" w:lineRule="auto"/>
        <w:rPr>
          <w:rFonts w:ascii="Arial" w:eastAsia="Times New Roman" w:hAnsi="Arial" w:cs="Arial"/>
          <w:lang w:eastAsia="en-GB"/>
        </w:rPr>
      </w:pPr>
      <w:r w:rsidRPr="000A07C6">
        <w:rPr>
          <w:rFonts w:ascii="Arial" w:eastAsia="Times New Roman" w:hAnsi="Arial" w:cs="Arial"/>
          <w:b/>
          <w:bCs/>
          <w:lang w:eastAsia="en-GB"/>
        </w:rPr>
        <w:t>SafeCare governance:</w:t>
      </w:r>
      <w:r w:rsidRPr="000A07C6">
        <w:rPr>
          <w:rFonts w:ascii="Arial" w:eastAsia="Times New Roman" w:hAnsi="Arial" w:cs="Arial"/>
          <w:lang w:eastAsia="en-GB"/>
        </w:rPr>
        <w:t xml:space="preserve"> Red Flags are reviewed daily and actively inform deployment decisions. Training on reporting and closure is embedded within preceptorship and Band 6 development programmes.</w:t>
      </w:r>
    </w:p>
    <w:p w14:paraId="26301C78" w14:textId="77777777" w:rsidR="002F35EC" w:rsidRPr="000A07C6" w:rsidRDefault="002F35EC" w:rsidP="002F35EC">
      <w:pPr>
        <w:pStyle w:val="ListParagraph"/>
        <w:spacing w:before="100" w:beforeAutospacing="1" w:after="100" w:afterAutospacing="1" w:line="240" w:lineRule="auto"/>
        <w:rPr>
          <w:rFonts w:ascii="Arial" w:eastAsia="Times New Roman" w:hAnsi="Arial" w:cs="Arial"/>
          <w:lang w:eastAsia="en-GB"/>
        </w:rPr>
      </w:pPr>
    </w:p>
    <w:p w14:paraId="1EC0E629" w14:textId="77777777" w:rsidR="002F35EC" w:rsidRDefault="002F35EC" w:rsidP="002F35EC">
      <w:pPr>
        <w:pStyle w:val="ListParagraph"/>
        <w:numPr>
          <w:ilvl w:val="0"/>
          <w:numId w:val="14"/>
        </w:numPr>
        <w:spacing w:before="100" w:beforeAutospacing="1" w:after="100" w:afterAutospacing="1" w:line="240" w:lineRule="auto"/>
        <w:rPr>
          <w:rFonts w:ascii="Arial" w:eastAsia="Times New Roman" w:hAnsi="Arial" w:cs="Arial"/>
          <w:lang w:eastAsia="en-GB"/>
        </w:rPr>
      </w:pPr>
      <w:r w:rsidRPr="000A07C6">
        <w:rPr>
          <w:rFonts w:ascii="Arial" w:eastAsia="Times New Roman" w:hAnsi="Arial" w:cs="Arial"/>
          <w:b/>
          <w:bCs/>
          <w:lang w:eastAsia="en-GB"/>
        </w:rPr>
        <w:t>Redeployment governance:</w:t>
      </w:r>
      <w:r w:rsidRPr="000A07C6">
        <w:rPr>
          <w:rFonts w:ascii="Arial" w:eastAsia="Times New Roman" w:hAnsi="Arial" w:cs="Arial"/>
          <w:lang w:eastAsia="en-GB"/>
        </w:rPr>
        <w:t xml:space="preserve"> In November, 158 substantive redeployments were recorded (1.06% of substantive hours), with oversight maintained through daily huddles and monthly reporting.</w:t>
      </w:r>
    </w:p>
    <w:p w14:paraId="694A8012" w14:textId="77777777" w:rsidR="002F35EC" w:rsidRDefault="002F35EC" w:rsidP="002F35EC">
      <w:pPr>
        <w:pStyle w:val="ListParagraph"/>
        <w:spacing w:before="100" w:beforeAutospacing="1" w:after="100" w:afterAutospacing="1" w:line="240" w:lineRule="auto"/>
        <w:rPr>
          <w:rFonts w:ascii="Arial" w:eastAsia="Times New Roman" w:hAnsi="Arial" w:cs="Arial"/>
          <w:b/>
          <w:bCs/>
          <w:lang w:eastAsia="en-GB"/>
        </w:rPr>
      </w:pPr>
    </w:p>
    <w:p w14:paraId="6A200FD3" w14:textId="77777777" w:rsidR="002F35EC" w:rsidRPr="00EE6189" w:rsidRDefault="002F35EC" w:rsidP="002F35EC">
      <w:pPr>
        <w:pStyle w:val="ListParagraph"/>
        <w:numPr>
          <w:ilvl w:val="0"/>
          <w:numId w:val="14"/>
        </w:numPr>
        <w:spacing w:before="100" w:beforeAutospacing="1" w:after="100" w:afterAutospacing="1" w:line="240" w:lineRule="auto"/>
        <w:rPr>
          <w:rFonts w:ascii="Arial" w:eastAsia="Times New Roman" w:hAnsi="Arial" w:cs="Arial"/>
          <w:lang w:eastAsia="en-GB"/>
        </w:rPr>
      </w:pPr>
      <w:r w:rsidRPr="000A07C6">
        <w:rPr>
          <w:rFonts w:ascii="Arial" w:eastAsia="Times New Roman" w:hAnsi="Arial" w:cs="Arial"/>
          <w:b/>
          <w:bCs/>
          <w:lang w:eastAsia="en-GB"/>
        </w:rPr>
        <w:t>Escalation and assurance:</w:t>
      </w:r>
      <w:r w:rsidRPr="000A07C6">
        <w:rPr>
          <w:rFonts w:ascii="Arial" w:eastAsia="Times New Roman" w:hAnsi="Arial" w:cs="Arial"/>
          <w:lang w:eastAsia="en-GB"/>
        </w:rPr>
        <w:t xml:space="preserve"> Staffing risks are escalated via divisional leadership and monitored through twice-daily compliance checks, weekly SafeCare reports, and</w:t>
      </w:r>
      <w:r w:rsidRPr="000A07C6">
        <w:rPr>
          <w:rFonts w:ascii="Times New Roman" w:eastAsia="Times New Roman" w:hAnsi="Times New Roman" w:cs="Times New Roman"/>
          <w:sz w:val="24"/>
          <w:szCs w:val="24"/>
          <w:lang w:eastAsia="en-GB"/>
        </w:rPr>
        <w:t xml:space="preserve"> </w:t>
      </w:r>
      <w:r w:rsidRPr="000A07C6">
        <w:rPr>
          <w:rFonts w:ascii="Times New Roman" w:eastAsia="Times New Roman" w:hAnsi="Times New Roman" w:cs="Times New Roman"/>
          <w:color w:val="FFFFFF" w:themeColor="background1"/>
          <w:sz w:val="24"/>
          <w:szCs w:val="24"/>
          <w:lang w:eastAsia="en-GB"/>
        </w:rPr>
        <w:t>f</w:t>
      </w:r>
      <w:r w:rsidRPr="00EE6189">
        <w:rPr>
          <w:rFonts w:ascii="Arial" w:eastAsia="Times New Roman" w:hAnsi="Arial" w:cs="Arial"/>
          <w:lang w:eastAsia="en-GB"/>
        </w:rPr>
        <w:t xml:space="preserve"> </w:t>
      </w:r>
      <w:r w:rsidRPr="00037267">
        <w:rPr>
          <w:rFonts w:ascii="Arial" w:eastAsia="Times New Roman" w:hAnsi="Arial" w:cs="Arial"/>
          <w:lang w:eastAsia="en-GB"/>
        </w:rPr>
        <w:t>monthly Board reporting</w:t>
      </w:r>
      <w:r w:rsidRPr="00037267">
        <w:rPr>
          <w:rFonts w:ascii="Arial" w:hAnsi="Arial" w:cs="Arial"/>
          <w:bCs/>
        </w:rPr>
        <w:t>.</w:t>
      </w:r>
    </w:p>
    <w:p w14:paraId="6B0BF0F5" w14:textId="77777777" w:rsidR="002F35EC" w:rsidRPr="00EE6189" w:rsidRDefault="002F35EC" w:rsidP="002F35EC">
      <w:pPr>
        <w:pStyle w:val="ListParagraph"/>
        <w:rPr>
          <w:rFonts w:ascii="Times New Roman" w:eastAsia="Times New Roman" w:hAnsi="Times New Roman" w:cs="Times New Roman"/>
          <w:color w:val="FFFFFF" w:themeColor="background1"/>
          <w:sz w:val="24"/>
          <w:szCs w:val="24"/>
          <w:lang w:eastAsia="en-GB"/>
        </w:rPr>
      </w:pPr>
    </w:p>
    <w:p w14:paraId="57D4CF71" w14:textId="77777777" w:rsidR="00DA15BE" w:rsidRPr="00037267" w:rsidRDefault="00DA15BE" w:rsidP="003F4460">
      <w:pPr>
        <w:spacing w:before="240" w:line="240" w:lineRule="auto"/>
        <w:rPr>
          <w:rFonts w:ascii="Arial" w:hAnsi="Arial" w:cs="Arial"/>
          <w:b/>
          <w:color w:val="005EB8"/>
        </w:rPr>
      </w:pPr>
      <w:r w:rsidRPr="00037267">
        <w:rPr>
          <w:rFonts w:ascii="Arial" w:hAnsi="Arial" w:cs="Arial"/>
          <w:b/>
          <w:color w:val="005EB8"/>
        </w:rPr>
        <w:t xml:space="preserve">Table 1. </w:t>
      </w:r>
      <w:r w:rsidR="004C2A2C" w:rsidRPr="00037267">
        <w:rPr>
          <w:rFonts w:ascii="Arial" w:hAnsi="Arial" w:cs="Arial"/>
          <w:b/>
          <w:color w:val="005EB8"/>
        </w:rPr>
        <w:t>O</w:t>
      </w:r>
      <w:r w:rsidR="007945A7" w:rsidRPr="00037267">
        <w:rPr>
          <w:rFonts w:ascii="Arial" w:hAnsi="Arial" w:cs="Arial"/>
          <w:b/>
          <w:color w:val="005EB8"/>
        </w:rPr>
        <w:t>verall fill rate</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5C2FD1" w:rsidRPr="00037267" w14:paraId="72792136" w14:textId="77777777" w:rsidTr="00704375">
        <w:tc>
          <w:tcPr>
            <w:tcW w:w="1555" w:type="dxa"/>
            <w:shd w:val="clear" w:color="auto" w:fill="DEEAF6" w:themeFill="accent5" w:themeFillTint="33"/>
            <w:vAlign w:val="center"/>
          </w:tcPr>
          <w:p w14:paraId="1A271033"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xml:space="preserve">Average day fill rate - registered nurses/midwives </w:t>
            </w:r>
          </w:p>
        </w:tc>
        <w:tc>
          <w:tcPr>
            <w:tcW w:w="1157" w:type="dxa"/>
            <w:shd w:val="clear" w:color="auto" w:fill="DEEAF6" w:themeFill="accent5" w:themeFillTint="33"/>
            <w:vAlign w:val="center"/>
          </w:tcPr>
          <w:p w14:paraId="67A52873"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xml:space="preserve">Average day fill rate - care staff </w:t>
            </w:r>
          </w:p>
        </w:tc>
        <w:tc>
          <w:tcPr>
            <w:tcW w:w="1536" w:type="dxa"/>
            <w:shd w:val="clear" w:color="auto" w:fill="9CC2E5" w:themeFill="accent5" w:themeFillTint="99"/>
            <w:vAlign w:val="center"/>
          </w:tcPr>
          <w:p w14:paraId="460DBF42"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xml:space="preserve">Average night fill rate - registered nurses/midwives </w:t>
            </w:r>
          </w:p>
        </w:tc>
        <w:tc>
          <w:tcPr>
            <w:tcW w:w="1176" w:type="dxa"/>
            <w:shd w:val="clear" w:color="auto" w:fill="9CC2E5" w:themeFill="accent5" w:themeFillTint="99"/>
            <w:vAlign w:val="center"/>
          </w:tcPr>
          <w:p w14:paraId="186F2E01"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xml:space="preserve">Average night fill rate - care staff </w:t>
            </w:r>
          </w:p>
        </w:tc>
        <w:tc>
          <w:tcPr>
            <w:tcW w:w="1356" w:type="dxa"/>
            <w:shd w:val="clear" w:color="auto" w:fill="BDD6EE" w:themeFill="accent5" w:themeFillTint="66"/>
            <w:vAlign w:val="center"/>
          </w:tcPr>
          <w:p w14:paraId="7C44ACD5" w14:textId="77777777" w:rsidR="005C2FD1" w:rsidRPr="00037267" w:rsidRDefault="005C2FD1" w:rsidP="00D71003">
            <w:pPr>
              <w:spacing w:after="0" w:line="240" w:lineRule="auto"/>
              <w:rPr>
                <w:rFonts w:ascii="Arial" w:eastAsia="Times New Roman" w:hAnsi="Arial" w:cs="Arial"/>
                <w:b/>
                <w:bCs/>
                <w:sz w:val="18"/>
                <w:szCs w:val="18"/>
                <w:lang w:eastAsia="en-GB"/>
              </w:rPr>
            </w:pPr>
            <w:r w:rsidRPr="00037267">
              <w:rPr>
                <w:rFonts w:ascii="Arial" w:eastAsia="Times New Roman" w:hAnsi="Arial" w:cs="Arial"/>
                <w:b/>
                <w:bCs/>
                <w:sz w:val="18"/>
                <w:szCs w:val="18"/>
                <w:lang w:eastAsia="en-GB"/>
              </w:rPr>
              <w:t>% Registered overall fill rate</w:t>
            </w:r>
          </w:p>
        </w:tc>
        <w:tc>
          <w:tcPr>
            <w:tcW w:w="1356" w:type="dxa"/>
            <w:shd w:val="clear" w:color="auto" w:fill="BDD6EE" w:themeFill="accent5" w:themeFillTint="66"/>
            <w:vAlign w:val="center"/>
          </w:tcPr>
          <w:p w14:paraId="71A76ABA"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HCSW overall fill rate</w:t>
            </w:r>
          </w:p>
        </w:tc>
        <w:tc>
          <w:tcPr>
            <w:tcW w:w="1357" w:type="dxa"/>
            <w:shd w:val="clear" w:color="auto" w:fill="BDD6EE" w:themeFill="accent5" w:themeFillTint="66"/>
            <w:vAlign w:val="center"/>
          </w:tcPr>
          <w:p w14:paraId="3EB64B72" w14:textId="77777777" w:rsidR="005C2FD1" w:rsidRPr="00037267" w:rsidRDefault="005C2FD1" w:rsidP="00D71003">
            <w:pPr>
              <w:spacing w:after="0" w:line="240" w:lineRule="auto"/>
              <w:rPr>
                <w:rFonts w:ascii="Arial" w:eastAsia="Times New Roman" w:hAnsi="Arial" w:cs="Arial"/>
                <w:b/>
                <w:sz w:val="18"/>
                <w:szCs w:val="18"/>
                <w:lang w:eastAsia="en-GB"/>
              </w:rPr>
            </w:pPr>
            <w:r w:rsidRPr="00037267">
              <w:rPr>
                <w:rFonts w:ascii="Arial" w:eastAsia="Times New Roman" w:hAnsi="Arial" w:cs="Arial"/>
                <w:b/>
                <w:sz w:val="18"/>
                <w:szCs w:val="18"/>
                <w:lang w:eastAsia="en-GB"/>
              </w:rPr>
              <w:t>% Overall fill rate</w:t>
            </w:r>
          </w:p>
        </w:tc>
      </w:tr>
      <w:tr w:rsidR="002A7E9D" w:rsidRPr="00037267" w14:paraId="0440B0CF" w14:textId="77777777" w:rsidTr="00037267">
        <w:trPr>
          <w:trHeight w:val="235"/>
        </w:trPr>
        <w:tc>
          <w:tcPr>
            <w:tcW w:w="1555" w:type="dxa"/>
            <w:tcBorders>
              <w:top w:val="single" w:sz="4" w:space="0" w:color="auto"/>
              <w:left w:val="single" w:sz="4" w:space="0" w:color="auto"/>
              <w:bottom w:val="single" w:sz="4" w:space="0" w:color="auto"/>
              <w:right w:val="single" w:sz="8" w:space="0" w:color="auto"/>
            </w:tcBorders>
            <w:shd w:val="clear" w:color="000000" w:fill="92D050"/>
            <w:vAlign w:val="center"/>
          </w:tcPr>
          <w:p w14:paraId="2BFC1BCA" w14:textId="1F421471"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95.9%</w:t>
            </w:r>
          </w:p>
        </w:tc>
        <w:tc>
          <w:tcPr>
            <w:tcW w:w="1157" w:type="dxa"/>
            <w:tcBorders>
              <w:top w:val="single" w:sz="4" w:space="0" w:color="auto"/>
              <w:left w:val="nil"/>
              <w:bottom w:val="single" w:sz="4" w:space="0" w:color="auto"/>
              <w:right w:val="single" w:sz="8" w:space="0" w:color="auto"/>
            </w:tcBorders>
            <w:shd w:val="clear" w:color="000000" w:fill="00B0F0"/>
            <w:vAlign w:val="center"/>
          </w:tcPr>
          <w:p w14:paraId="01C2E1F0" w14:textId="1F11871E"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111.0%</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2C626797" w14:textId="0CEF3525"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103.0%</w:t>
            </w:r>
          </w:p>
        </w:tc>
        <w:tc>
          <w:tcPr>
            <w:tcW w:w="1176" w:type="dxa"/>
            <w:tcBorders>
              <w:top w:val="single" w:sz="4" w:space="0" w:color="auto"/>
              <w:left w:val="nil"/>
              <w:bottom w:val="single" w:sz="4" w:space="0" w:color="auto"/>
              <w:right w:val="single" w:sz="8" w:space="0" w:color="auto"/>
            </w:tcBorders>
            <w:shd w:val="clear" w:color="000000" w:fill="00B0F0"/>
            <w:vAlign w:val="center"/>
          </w:tcPr>
          <w:p w14:paraId="562CD68F" w14:textId="7301AB86"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134.8%</w:t>
            </w:r>
          </w:p>
        </w:tc>
        <w:tc>
          <w:tcPr>
            <w:tcW w:w="1356" w:type="dxa"/>
            <w:tcBorders>
              <w:top w:val="single" w:sz="4" w:space="0" w:color="auto"/>
              <w:left w:val="nil"/>
              <w:bottom w:val="single" w:sz="4" w:space="0" w:color="auto"/>
              <w:right w:val="single" w:sz="8" w:space="0" w:color="auto"/>
            </w:tcBorders>
            <w:shd w:val="clear" w:color="000000" w:fill="92D050"/>
            <w:vAlign w:val="center"/>
          </w:tcPr>
          <w:p w14:paraId="11302077" w14:textId="792F9413" w:rsidR="002A7E9D" w:rsidRPr="00037267" w:rsidRDefault="002A7E9D" w:rsidP="002A7E9D">
            <w:pPr>
              <w:spacing w:after="0" w:line="240" w:lineRule="auto"/>
              <w:jc w:val="center"/>
              <w:rPr>
                <w:rFonts w:ascii="Arial" w:eastAsia="Times New Roman" w:hAnsi="Arial" w:cs="Arial"/>
                <w:b/>
                <w:bCs/>
                <w:sz w:val="18"/>
                <w:szCs w:val="18"/>
                <w:lang w:eastAsia="en-GB"/>
              </w:rPr>
            </w:pPr>
            <w:r w:rsidRPr="00037267">
              <w:rPr>
                <w:rFonts w:ascii="Arial" w:hAnsi="Arial" w:cs="Arial"/>
                <w:b/>
                <w:bCs/>
                <w:sz w:val="18"/>
                <w:szCs w:val="18"/>
              </w:rPr>
              <w:t>99.0%</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7E5A3A03" w14:textId="797A6B14"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121.9%</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66707B8D" w14:textId="6361BBE5" w:rsidR="002A7E9D" w:rsidRPr="00037267" w:rsidRDefault="002A7E9D" w:rsidP="002A7E9D">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106.5%</w:t>
            </w:r>
          </w:p>
        </w:tc>
      </w:tr>
    </w:tbl>
    <w:p w14:paraId="16BBA77C" w14:textId="77777777" w:rsidR="00D430E2" w:rsidRPr="00037267" w:rsidRDefault="00D430E2" w:rsidP="0026390F">
      <w:pPr>
        <w:spacing w:after="0"/>
        <w:rPr>
          <w:rFonts w:ascii="Arial" w:hAnsi="Arial" w:cs="Arial"/>
          <w:b/>
          <w:color w:val="005EB8"/>
        </w:rPr>
      </w:pPr>
    </w:p>
    <w:p w14:paraId="2B44EDFB" w14:textId="77777777" w:rsidR="002F35EC" w:rsidRDefault="002F35EC" w:rsidP="0026390F">
      <w:pPr>
        <w:spacing w:after="0"/>
        <w:rPr>
          <w:rFonts w:ascii="Arial" w:hAnsi="Arial" w:cs="Arial"/>
          <w:b/>
          <w:color w:val="005EB8"/>
        </w:rPr>
      </w:pPr>
    </w:p>
    <w:p w14:paraId="27695BC5" w14:textId="77777777" w:rsidR="002F35EC" w:rsidRDefault="002F35EC" w:rsidP="0026390F">
      <w:pPr>
        <w:spacing w:after="0"/>
        <w:rPr>
          <w:rFonts w:ascii="Arial" w:hAnsi="Arial" w:cs="Arial"/>
          <w:b/>
          <w:color w:val="005EB8"/>
        </w:rPr>
      </w:pPr>
    </w:p>
    <w:p w14:paraId="5FD07C7D" w14:textId="77777777" w:rsidR="002F35EC" w:rsidRDefault="002F35EC" w:rsidP="0026390F">
      <w:pPr>
        <w:spacing w:after="0"/>
        <w:rPr>
          <w:rFonts w:ascii="Arial" w:hAnsi="Arial" w:cs="Arial"/>
          <w:b/>
          <w:color w:val="005EB8"/>
        </w:rPr>
      </w:pPr>
    </w:p>
    <w:p w14:paraId="45042BB8" w14:textId="77777777" w:rsidR="002F35EC" w:rsidRDefault="002F35EC" w:rsidP="0026390F">
      <w:pPr>
        <w:spacing w:after="0"/>
        <w:rPr>
          <w:rFonts w:ascii="Arial" w:hAnsi="Arial" w:cs="Arial"/>
          <w:b/>
          <w:color w:val="005EB8"/>
        </w:rPr>
      </w:pPr>
    </w:p>
    <w:p w14:paraId="60D91D98" w14:textId="5F867A06" w:rsidR="00541DE7" w:rsidRPr="00037267" w:rsidRDefault="007944ED" w:rsidP="0026390F">
      <w:pPr>
        <w:spacing w:after="0"/>
        <w:rPr>
          <w:rFonts w:ascii="Arial" w:hAnsi="Arial" w:cs="Arial"/>
          <w:b/>
          <w:color w:val="005EB8"/>
        </w:rPr>
      </w:pPr>
      <w:r w:rsidRPr="00037267">
        <w:rPr>
          <w:rFonts w:ascii="Arial" w:hAnsi="Arial" w:cs="Arial"/>
          <w:b/>
          <w:color w:val="005EB8"/>
        </w:rPr>
        <w:lastRenderedPageBreak/>
        <w:t>T</w:t>
      </w:r>
      <w:r w:rsidR="007945A7" w:rsidRPr="00037267">
        <w:rPr>
          <w:rFonts w:ascii="Arial" w:hAnsi="Arial" w:cs="Arial"/>
          <w:b/>
          <w:color w:val="005EB8"/>
        </w:rPr>
        <w:t xml:space="preserve">able 2. </w:t>
      </w:r>
      <w:r w:rsidR="004778A7" w:rsidRPr="00037267">
        <w:rPr>
          <w:rFonts w:ascii="Arial" w:hAnsi="Arial" w:cs="Arial"/>
          <w:b/>
          <w:color w:val="005EB8"/>
        </w:rPr>
        <w:t xml:space="preserve">Inpatient </w:t>
      </w:r>
      <w:r w:rsidR="007945A7" w:rsidRPr="00037267">
        <w:rPr>
          <w:rFonts w:ascii="Arial" w:hAnsi="Arial" w:cs="Arial"/>
          <w:b/>
          <w:color w:val="005EB8"/>
        </w:rPr>
        <w:t>f</w:t>
      </w:r>
      <w:r w:rsidR="004778A7" w:rsidRPr="00037267">
        <w:rPr>
          <w:rFonts w:ascii="Arial" w:hAnsi="Arial" w:cs="Arial"/>
          <w:b/>
          <w:color w:val="005EB8"/>
        </w:rPr>
        <w:t>ill</w:t>
      </w:r>
      <w:r w:rsidR="007945A7" w:rsidRPr="00037267">
        <w:rPr>
          <w:rFonts w:ascii="Arial" w:hAnsi="Arial" w:cs="Arial"/>
          <w:b/>
          <w:color w:val="005EB8"/>
        </w:rPr>
        <w:t xml:space="preserve"> </w:t>
      </w:r>
      <w:r w:rsidR="004778A7" w:rsidRPr="00037267">
        <w:rPr>
          <w:rFonts w:ascii="Arial" w:hAnsi="Arial" w:cs="Arial"/>
          <w:b/>
          <w:color w:val="005EB8"/>
        </w:rPr>
        <w:t>rate</w:t>
      </w:r>
      <w:r w:rsidR="003E0E19" w:rsidRPr="00037267">
        <w:rPr>
          <w:rFonts w:ascii="Arial" w:hAnsi="Arial" w:cs="Arial"/>
          <w:b/>
          <w:color w:val="005EB8"/>
        </w:rPr>
        <w:t xml:space="preserve"> including Maternity Wards</w:t>
      </w:r>
      <w:r w:rsidR="004C3DDC" w:rsidRPr="00037267">
        <w:rPr>
          <w:rFonts w:ascii="Arial" w:hAnsi="Arial" w:cs="Arial"/>
          <w:b/>
          <w:color w:val="005EB8"/>
        </w:rPr>
        <w:t xml:space="preserve"> </w:t>
      </w:r>
      <w:r w:rsidR="0046186F" w:rsidRPr="00037267">
        <w:rPr>
          <w:rFonts w:ascii="Arial" w:hAnsi="Arial" w:cs="Arial"/>
          <w:b/>
          <w:color w:val="005EB8"/>
        </w:rPr>
        <w:t>Trend</w:t>
      </w:r>
    </w:p>
    <w:p w14:paraId="0451402A" w14:textId="77777777" w:rsidR="00B2637B" w:rsidRPr="00037267" w:rsidRDefault="00B2637B" w:rsidP="0026390F">
      <w:pPr>
        <w:spacing w:after="0"/>
        <w:rPr>
          <w:rFonts w:ascii="Arial" w:hAnsi="Arial" w:cs="Arial"/>
          <w:b/>
          <w:color w:val="005EB8"/>
        </w:rPr>
      </w:pPr>
    </w:p>
    <w:p w14:paraId="3C174CF8" w14:textId="7345C802" w:rsidR="0095208D" w:rsidRPr="00037267" w:rsidRDefault="002A7E9D" w:rsidP="0026390F">
      <w:pPr>
        <w:spacing w:after="0"/>
        <w:rPr>
          <w:rFonts w:ascii="Arial" w:hAnsi="Arial" w:cs="Arial"/>
          <w:b/>
          <w:color w:val="005EB8"/>
        </w:rPr>
      </w:pPr>
      <w:r w:rsidRPr="00037267">
        <w:rPr>
          <w:rFonts w:ascii="Arial" w:hAnsi="Arial" w:cs="Arial"/>
          <w:b/>
          <w:noProof/>
          <w:color w:val="005EB8"/>
        </w:rPr>
        <w:drawing>
          <wp:inline distT="0" distB="0" distL="0" distR="0" wp14:anchorId="3CDB8695" wp14:editId="1375A216">
            <wp:extent cx="5588000" cy="3638823"/>
            <wp:effectExtent l="0" t="0" r="0" b="0"/>
            <wp:docPr id="187893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1536" cy="3654149"/>
                    </a:xfrm>
                    <a:prstGeom prst="rect">
                      <a:avLst/>
                    </a:prstGeom>
                    <a:noFill/>
                  </pic:spPr>
                </pic:pic>
              </a:graphicData>
            </a:graphic>
          </wp:inline>
        </w:drawing>
      </w:r>
    </w:p>
    <w:p w14:paraId="7FEC31B5" w14:textId="37109561" w:rsidR="003E0E19" w:rsidRPr="00037267" w:rsidRDefault="007945A7" w:rsidP="003F4460">
      <w:pPr>
        <w:shd w:val="clear" w:color="auto" w:fill="FFFFFF" w:themeFill="background1"/>
        <w:spacing w:before="240" w:after="0" w:line="240" w:lineRule="auto"/>
        <w:rPr>
          <w:rFonts w:ascii="Arial" w:hAnsi="Arial" w:cs="Arial"/>
          <w:b/>
          <w:color w:val="005EB8"/>
        </w:rPr>
      </w:pPr>
      <w:r w:rsidRPr="00037267">
        <w:rPr>
          <w:rFonts w:ascii="Arial" w:hAnsi="Arial" w:cs="Arial"/>
          <w:b/>
          <w:color w:val="005EB8"/>
        </w:rPr>
        <w:t>4.</w:t>
      </w:r>
      <w:r w:rsidR="004C2A2C" w:rsidRPr="00037267">
        <w:rPr>
          <w:rFonts w:ascii="Arial" w:hAnsi="Arial" w:cs="Arial"/>
          <w:b/>
          <w:color w:val="005EB8"/>
        </w:rPr>
        <w:t>0</w:t>
      </w:r>
      <w:r w:rsidRPr="00037267">
        <w:rPr>
          <w:rFonts w:ascii="Arial" w:hAnsi="Arial" w:cs="Arial"/>
          <w:b/>
          <w:color w:val="005EB8"/>
        </w:rPr>
        <w:t xml:space="preserve"> </w:t>
      </w:r>
      <w:r w:rsidR="0012522F" w:rsidRPr="00037267">
        <w:rPr>
          <w:rFonts w:ascii="Arial" w:hAnsi="Arial" w:cs="Arial"/>
          <w:b/>
          <w:color w:val="005EB8"/>
        </w:rPr>
        <w:tab/>
      </w:r>
      <w:r w:rsidR="003E0E19" w:rsidRPr="00037267">
        <w:rPr>
          <w:rFonts w:ascii="Arial" w:hAnsi="Arial" w:cs="Arial"/>
          <w:b/>
          <w:color w:val="005EB8"/>
        </w:rPr>
        <w:t xml:space="preserve">Care Hours Per Patient </w:t>
      </w:r>
      <w:r w:rsidR="00D5055D" w:rsidRPr="00037267">
        <w:rPr>
          <w:rFonts w:ascii="Arial" w:hAnsi="Arial" w:cs="Arial"/>
          <w:b/>
          <w:color w:val="005EB8"/>
        </w:rPr>
        <w:t>Day</w:t>
      </w:r>
      <w:r w:rsidRPr="00037267">
        <w:rPr>
          <w:rFonts w:ascii="Arial" w:hAnsi="Arial" w:cs="Arial"/>
          <w:b/>
          <w:color w:val="005EB8"/>
        </w:rPr>
        <w:t xml:space="preserve"> (CHPPD)</w:t>
      </w:r>
      <w:r w:rsidR="00F210C8" w:rsidRPr="00037267">
        <w:rPr>
          <w:rFonts w:ascii="Arial" w:hAnsi="Arial" w:cs="Arial"/>
          <w:b/>
          <w:color w:val="005EB8"/>
        </w:rPr>
        <w:t xml:space="preserve"> </w:t>
      </w:r>
    </w:p>
    <w:p w14:paraId="3CB1D1BE"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lang w:eastAsia="en-GB"/>
        </w:rPr>
        <w:t>Care Hours Per Patient Day (CHPPD) enables comparison and benchmarking of staffing levels within the Trust and against similar wards in other organisations. It supports the identification of variation between comparable wards, helping to ensure the right staff are deployed, in the right numbers, and in the right skill mix.</w:t>
      </w:r>
    </w:p>
    <w:p w14:paraId="0CC82B56"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lang w:eastAsia="en-GB"/>
        </w:rPr>
        <w:t>CHPPD is calculated by adding the total hours worked across day and night shifts by registered nurses, midwives and healthcare support workers, and dividing this by the number of patients at midnight to give the total care hours per patient day.</w:t>
      </w:r>
    </w:p>
    <w:p w14:paraId="76333664"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lang w:eastAsia="en-GB"/>
        </w:rPr>
        <w:t>CHPPD should not be interpreted in isolation. While it provides a useful indicator of staffing input, it does not directly measure the quality, safety or effectiveness of care. It must therefore be considered alongside other quality, safety and patient experience indicators to provide meaningful assurance.</w:t>
      </w:r>
    </w:p>
    <w:p w14:paraId="1BB9DE9E" w14:textId="02959475" w:rsidR="00D5055D" w:rsidRPr="00037267" w:rsidRDefault="007945A7" w:rsidP="003F4460">
      <w:pPr>
        <w:shd w:val="clear" w:color="auto" w:fill="FFFFFF" w:themeFill="background1"/>
        <w:spacing w:before="240" w:after="0" w:line="240" w:lineRule="auto"/>
        <w:rPr>
          <w:rFonts w:ascii="Arial" w:hAnsi="Arial" w:cs="Arial"/>
          <w:b/>
          <w:color w:val="005EB8"/>
        </w:rPr>
      </w:pPr>
      <w:r w:rsidRPr="00037267">
        <w:rPr>
          <w:rFonts w:ascii="Arial" w:hAnsi="Arial" w:cs="Arial"/>
          <w:b/>
          <w:color w:val="005EB8"/>
        </w:rPr>
        <w:t xml:space="preserve">Table 3. </w:t>
      </w:r>
      <w:r w:rsidR="00D5055D" w:rsidRPr="00037267">
        <w:rPr>
          <w:rFonts w:ascii="Arial" w:hAnsi="Arial" w:cs="Arial"/>
          <w:b/>
          <w:color w:val="005EB8"/>
        </w:rPr>
        <w:t>Overall Care Hours Per Patient Day (CHPPD)</w:t>
      </w:r>
      <w:r w:rsidR="00B8186D" w:rsidRPr="00037267">
        <w:rPr>
          <w:rFonts w:ascii="Arial" w:hAnsi="Arial" w:cs="Arial"/>
          <w:b/>
          <w:color w:val="005EB8"/>
        </w:rPr>
        <w:t xml:space="preserve"> </w:t>
      </w:r>
      <w:r w:rsidR="0057060E" w:rsidRPr="00037267">
        <w:rPr>
          <w:rFonts w:ascii="Arial" w:hAnsi="Arial" w:cs="Arial"/>
          <w:b/>
          <w:bCs/>
          <w:color w:val="005EB8"/>
        </w:rPr>
        <w:t>Novem</w:t>
      </w:r>
      <w:r w:rsidR="00AE20E0" w:rsidRPr="00037267">
        <w:rPr>
          <w:rFonts w:ascii="Arial" w:hAnsi="Arial" w:cs="Arial"/>
          <w:b/>
          <w:color w:val="005EB8"/>
        </w:rPr>
        <w:t>ber</w:t>
      </w:r>
      <w:r w:rsidR="001166D3" w:rsidRPr="00037267">
        <w:rPr>
          <w:rFonts w:ascii="Arial" w:hAnsi="Arial" w:cs="Arial"/>
          <w:b/>
          <w:color w:val="005EB8"/>
        </w:rPr>
        <w:t xml:space="preserve"> </w:t>
      </w:r>
      <w:r w:rsidR="00977A20" w:rsidRPr="00037267">
        <w:rPr>
          <w:rFonts w:ascii="Arial" w:hAnsi="Arial" w:cs="Arial"/>
          <w:b/>
          <w:color w:val="005EB8"/>
        </w:rPr>
        <w:t>2025</w:t>
      </w:r>
      <w:r w:rsidR="00D5055D" w:rsidRPr="00037267">
        <w:rPr>
          <w:rFonts w:ascii="Arial" w:hAnsi="Arial" w:cs="Arial"/>
          <w:b/>
          <w:color w:val="005EB8"/>
        </w:rPr>
        <w:t xml:space="preserve"> </w:t>
      </w:r>
    </w:p>
    <w:p w14:paraId="449E096C" w14:textId="77777777" w:rsidR="008236EF" w:rsidRPr="00037267" w:rsidRDefault="008236EF" w:rsidP="0026390F">
      <w:pPr>
        <w:shd w:val="clear" w:color="auto" w:fill="FFFFFF" w:themeFill="background1"/>
        <w:spacing w:after="0"/>
        <w:rPr>
          <w:rFonts w:ascii="Arial" w:hAnsi="Arial" w:cs="Arial"/>
          <w:b/>
          <w:color w:val="005EB8"/>
        </w:rPr>
      </w:pPr>
    </w:p>
    <w:tbl>
      <w:tblPr>
        <w:tblStyle w:val="TableGrid"/>
        <w:tblW w:w="9698" w:type="dxa"/>
        <w:tblLook w:val="04A0" w:firstRow="1" w:lastRow="0" w:firstColumn="1" w:lastColumn="0" w:noHBand="0" w:noVBand="1"/>
      </w:tblPr>
      <w:tblGrid>
        <w:gridCol w:w="3227"/>
        <w:gridCol w:w="3485"/>
        <w:gridCol w:w="2986"/>
      </w:tblGrid>
      <w:tr w:rsidR="00D5055D" w:rsidRPr="00037267" w14:paraId="677B85FD" w14:textId="77777777" w:rsidTr="002F35EC">
        <w:trPr>
          <w:trHeight w:val="298"/>
        </w:trPr>
        <w:tc>
          <w:tcPr>
            <w:tcW w:w="3227" w:type="dxa"/>
            <w:shd w:val="clear" w:color="auto" w:fill="B4C6E7" w:themeFill="accent1" w:themeFillTint="66"/>
            <w:vAlign w:val="center"/>
          </w:tcPr>
          <w:p w14:paraId="7DDC4CA5" w14:textId="77777777" w:rsidR="00D5055D" w:rsidRPr="002F35EC" w:rsidRDefault="00D5055D" w:rsidP="00D5055D">
            <w:pPr>
              <w:spacing w:after="0"/>
              <w:jc w:val="center"/>
              <w:rPr>
                <w:rFonts w:ascii="Arial" w:hAnsi="Arial" w:cs="Arial"/>
              </w:rPr>
            </w:pPr>
            <w:r w:rsidRPr="002F35EC">
              <w:rPr>
                <w:rFonts w:ascii="Arial" w:hAnsi="Arial" w:cs="Arial"/>
              </w:rPr>
              <w:t>Registered CHPPD</w:t>
            </w:r>
          </w:p>
        </w:tc>
        <w:tc>
          <w:tcPr>
            <w:tcW w:w="3485" w:type="dxa"/>
            <w:shd w:val="clear" w:color="auto" w:fill="B4C6E7" w:themeFill="accent1" w:themeFillTint="66"/>
            <w:vAlign w:val="center"/>
          </w:tcPr>
          <w:p w14:paraId="07756309" w14:textId="77777777" w:rsidR="00D5055D" w:rsidRPr="002F35EC" w:rsidRDefault="00D5055D" w:rsidP="00D5055D">
            <w:pPr>
              <w:spacing w:after="0"/>
              <w:jc w:val="center"/>
              <w:rPr>
                <w:rFonts w:ascii="Arial" w:hAnsi="Arial" w:cs="Arial"/>
              </w:rPr>
            </w:pPr>
            <w:r w:rsidRPr="002F35EC">
              <w:rPr>
                <w:rFonts w:ascii="Arial" w:hAnsi="Arial" w:cs="Arial"/>
              </w:rPr>
              <w:t>Unregistered CHPPD</w:t>
            </w:r>
          </w:p>
        </w:tc>
        <w:tc>
          <w:tcPr>
            <w:tcW w:w="2986" w:type="dxa"/>
            <w:shd w:val="clear" w:color="auto" w:fill="B4C6E7" w:themeFill="accent1" w:themeFillTint="66"/>
            <w:vAlign w:val="center"/>
          </w:tcPr>
          <w:p w14:paraId="3D6504F2" w14:textId="77777777" w:rsidR="00D5055D" w:rsidRPr="002F35EC" w:rsidRDefault="00D5055D" w:rsidP="00D5055D">
            <w:pPr>
              <w:spacing w:after="0"/>
              <w:jc w:val="center"/>
              <w:rPr>
                <w:rFonts w:ascii="Arial" w:hAnsi="Arial" w:cs="Arial"/>
              </w:rPr>
            </w:pPr>
            <w:r w:rsidRPr="002F35EC">
              <w:rPr>
                <w:rFonts w:ascii="Arial" w:hAnsi="Arial" w:cs="Arial"/>
              </w:rPr>
              <w:t>Total CHPPD</w:t>
            </w:r>
          </w:p>
        </w:tc>
      </w:tr>
      <w:tr w:rsidR="002F19BE" w:rsidRPr="00037267" w14:paraId="73D6DF54" w14:textId="77777777" w:rsidTr="002F35EC">
        <w:trPr>
          <w:trHeight w:val="305"/>
        </w:trPr>
        <w:tc>
          <w:tcPr>
            <w:tcW w:w="3227" w:type="dxa"/>
          </w:tcPr>
          <w:p w14:paraId="08D01F18" w14:textId="77777777" w:rsidR="002F19BE" w:rsidRPr="002F35EC" w:rsidRDefault="002F19BE" w:rsidP="002F19BE">
            <w:pPr>
              <w:spacing w:after="0"/>
              <w:jc w:val="center"/>
              <w:rPr>
                <w:rFonts w:ascii="Arial" w:hAnsi="Arial" w:cs="Arial"/>
              </w:rPr>
            </w:pPr>
            <w:r w:rsidRPr="002F35EC">
              <w:rPr>
                <w:rFonts w:ascii="Arial" w:hAnsi="Arial" w:cs="Arial"/>
              </w:rPr>
              <w:t>5.0</w:t>
            </w:r>
          </w:p>
        </w:tc>
        <w:tc>
          <w:tcPr>
            <w:tcW w:w="3485" w:type="dxa"/>
          </w:tcPr>
          <w:p w14:paraId="33458993" w14:textId="667EDA29" w:rsidR="002F19BE" w:rsidRPr="002F35EC" w:rsidRDefault="00AE20E0" w:rsidP="002F19BE">
            <w:pPr>
              <w:spacing w:after="0"/>
              <w:jc w:val="center"/>
              <w:rPr>
                <w:rFonts w:ascii="Arial" w:hAnsi="Arial" w:cs="Arial"/>
              </w:rPr>
            </w:pPr>
            <w:r w:rsidRPr="002F35EC">
              <w:rPr>
                <w:rFonts w:ascii="Arial" w:hAnsi="Arial" w:cs="Arial"/>
              </w:rPr>
              <w:t>3.</w:t>
            </w:r>
            <w:r w:rsidR="00BD2B04" w:rsidRPr="002F35EC">
              <w:rPr>
                <w:rFonts w:ascii="Arial" w:hAnsi="Arial" w:cs="Arial"/>
              </w:rPr>
              <w:t>0</w:t>
            </w:r>
          </w:p>
        </w:tc>
        <w:tc>
          <w:tcPr>
            <w:tcW w:w="2986" w:type="dxa"/>
          </w:tcPr>
          <w:p w14:paraId="0DBBAC8A" w14:textId="0C158F63" w:rsidR="002F19BE" w:rsidRPr="002F35EC" w:rsidRDefault="00BD2B04" w:rsidP="002F19BE">
            <w:pPr>
              <w:spacing w:after="0"/>
              <w:jc w:val="center"/>
              <w:rPr>
                <w:rFonts w:ascii="Arial" w:hAnsi="Arial" w:cs="Arial"/>
              </w:rPr>
            </w:pPr>
            <w:r w:rsidRPr="002F35EC">
              <w:rPr>
                <w:rFonts w:ascii="Arial" w:hAnsi="Arial" w:cs="Arial"/>
              </w:rPr>
              <w:t>7.9</w:t>
            </w:r>
          </w:p>
        </w:tc>
      </w:tr>
    </w:tbl>
    <w:p w14:paraId="3A7435D6"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lang w:eastAsia="en-GB"/>
        </w:rPr>
        <w:t>Model Hospital data (November 2025) indicates that the Trust’s CHPPD is 7.9, compared with a national median of 8.8. Table 4 also presents the Trust’s total CHPPD benchmarked against peer organisations, which have a median CHPPD of 8.1 (East and North Hertfordshire NHS Trust and West Hertfordshire Teaching Hospitals NHS Trust). The Trust’s CHPPD therefore remains below both peer and national median benchmarks.</w:t>
      </w:r>
    </w:p>
    <w:p w14:paraId="17423919"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b/>
          <w:bCs/>
          <w:lang w:eastAsia="en-GB"/>
        </w:rPr>
        <w:t>Appendix 2</w:t>
      </w:r>
      <w:r w:rsidRPr="00D765A7">
        <w:rPr>
          <w:rFonts w:ascii="Arial" w:eastAsia="Times New Roman" w:hAnsi="Arial" w:cs="Arial"/>
          <w:lang w:eastAsia="en-GB"/>
        </w:rPr>
        <w:t xml:space="preserve"> provides a detailed breakdown of CHPPD by ward and division for November 2025.</w:t>
      </w:r>
    </w:p>
    <w:p w14:paraId="26BA1735" w14:textId="4C190F8A" w:rsidR="003F4460" w:rsidRPr="00037267" w:rsidRDefault="00E77D91" w:rsidP="00E77D91">
      <w:pPr>
        <w:spacing w:after="0"/>
        <w:rPr>
          <w:rFonts w:ascii="Arial" w:hAnsi="Arial" w:cs="Arial"/>
          <w:b/>
          <w:color w:val="005EB8"/>
        </w:rPr>
      </w:pPr>
      <w:r w:rsidRPr="00037267">
        <w:rPr>
          <w:rFonts w:ascii="Arial" w:hAnsi="Arial" w:cs="Arial"/>
          <w:b/>
          <w:color w:val="005EB8"/>
        </w:rPr>
        <w:lastRenderedPageBreak/>
        <w:t xml:space="preserve">Table 4. CHPPD Trend </w:t>
      </w:r>
    </w:p>
    <w:p w14:paraId="1D7B6D0A" w14:textId="77777777" w:rsidR="003F4460" w:rsidRPr="00037267" w:rsidRDefault="00BD2B04" w:rsidP="003409FA">
      <w:pPr>
        <w:spacing w:after="0"/>
        <w:rPr>
          <w:rFonts w:ascii="Arial" w:hAnsi="Arial" w:cs="Arial"/>
        </w:rPr>
      </w:pPr>
      <w:r w:rsidRPr="00037267">
        <w:rPr>
          <w:rFonts w:ascii="Arial" w:hAnsi="Arial" w:cs="Arial"/>
          <w:noProof/>
        </w:rPr>
        <w:drawing>
          <wp:inline distT="0" distB="0" distL="0" distR="0" wp14:anchorId="6B91F5EC" wp14:editId="4C5A0AB0">
            <wp:extent cx="5528956" cy="3600450"/>
            <wp:effectExtent l="0" t="0" r="0" b="0"/>
            <wp:docPr id="138503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57313" cy="3618916"/>
                    </a:xfrm>
                    <a:prstGeom prst="rect">
                      <a:avLst/>
                    </a:prstGeom>
                    <a:noFill/>
                  </pic:spPr>
                </pic:pic>
              </a:graphicData>
            </a:graphic>
          </wp:inline>
        </w:drawing>
      </w:r>
    </w:p>
    <w:p w14:paraId="4C2035C8" w14:textId="37B0542E" w:rsidR="00A47936" w:rsidRPr="00037267" w:rsidRDefault="00320056" w:rsidP="003F4460">
      <w:pPr>
        <w:spacing w:before="240" w:after="0" w:line="240" w:lineRule="auto"/>
        <w:rPr>
          <w:rFonts w:ascii="Arial" w:hAnsi="Arial" w:cs="Arial"/>
        </w:rPr>
      </w:pPr>
      <w:r w:rsidRPr="00037267">
        <w:rPr>
          <w:rFonts w:ascii="Arial" w:hAnsi="Arial" w:cs="Arial"/>
          <w:b/>
          <w:color w:val="005EB8"/>
        </w:rPr>
        <w:t xml:space="preserve">5.0 </w:t>
      </w:r>
      <w:r w:rsidR="0012522F" w:rsidRPr="00037267">
        <w:rPr>
          <w:rFonts w:ascii="Arial" w:hAnsi="Arial" w:cs="Arial"/>
          <w:b/>
          <w:color w:val="005EB8"/>
        </w:rPr>
        <w:tab/>
      </w:r>
      <w:r w:rsidRPr="00037267">
        <w:rPr>
          <w:rFonts w:ascii="Arial" w:hAnsi="Arial" w:cs="Arial"/>
          <w:b/>
          <w:color w:val="005EB8"/>
        </w:rPr>
        <w:t>Quality Indicators</w:t>
      </w:r>
      <w:bookmarkStart w:id="1" w:name="_Hlk166577190"/>
    </w:p>
    <w:p w14:paraId="0ABC08A2" w14:textId="77777777" w:rsidR="003409FA" w:rsidRPr="00037267" w:rsidRDefault="00A47936" w:rsidP="003F4460">
      <w:pPr>
        <w:spacing w:before="240" w:after="0" w:line="240" w:lineRule="auto"/>
        <w:rPr>
          <w:rFonts w:ascii="Arial" w:hAnsi="Arial" w:cs="Arial"/>
          <w:b/>
          <w:color w:val="005EB8"/>
        </w:rPr>
      </w:pPr>
      <w:r w:rsidRPr="00037267">
        <w:rPr>
          <w:rFonts w:ascii="Arial" w:hAnsi="Arial" w:cs="Arial"/>
          <w:b/>
          <w:color w:val="005EB8"/>
        </w:rPr>
        <w:t xml:space="preserve">5.1 </w:t>
      </w:r>
      <w:r w:rsidR="0012522F" w:rsidRPr="00037267">
        <w:rPr>
          <w:rFonts w:ascii="Arial" w:hAnsi="Arial" w:cs="Arial"/>
          <w:b/>
          <w:color w:val="005EB8"/>
        </w:rPr>
        <w:tab/>
      </w:r>
      <w:r w:rsidR="00320056" w:rsidRPr="00037267">
        <w:rPr>
          <w:rFonts w:ascii="Arial" w:hAnsi="Arial" w:cs="Arial"/>
          <w:b/>
          <w:color w:val="005EB8"/>
        </w:rPr>
        <w:t xml:space="preserve">Nursing </w:t>
      </w:r>
      <w:r w:rsidR="003E0E19" w:rsidRPr="00037267">
        <w:rPr>
          <w:rFonts w:ascii="Arial" w:hAnsi="Arial" w:cs="Arial"/>
          <w:b/>
          <w:color w:val="005EB8"/>
        </w:rPr>
        <w:t>Red Flags</w:t>
      </w:r>
      <w:bookmarkEnd w:id="1"/>
    </w:p>
    <w:p w14:paraId="5EB3F33F"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bookmarkStart w:id="2" w:name="_Hlk166584627"/>
      <w:bookmarkStart w:id="3" w:name="_Hlk170891862"/>
      <w:r w:rsidRPr="00D765A7">
        <w:rPr>
          <w:rFonts w:ascii="Arial" w:eastAsia="Times New Roman" w:hAnsi="Arial" w:cs="Arial"/>
          <w:lang w:eastAsia="en-GB"/>
        </w:rPr>
        <w:t xml:space="preserve">Nursing Red Flags prompt an immediate response by the registered nurse in charge of the ward. This may include the deployment of additional nursing staff or other appropriate mitigating actions to manage risk. </w:t>
      </w:r>
      <w:r w:rsidRPr="00D765A7">
        <w:rPr>
          <w:rFonts w:ascii="Arial" w:eastAsia="Times New Roman" w:hAnsi="Arial" w:cs="Arial"/>
          <w:b/>
          <w:bCs/>
          <w:lang w:eastAsia="en-GB"/>
        </w:rPr>
        <w:t>Appendix 3</w:t>
      </w:r>
      <w:r w:rsidRPr="00D765A7">
        <w:rPr>
          <w:rFonts w:ascii="Arial" w:eastAsia="Times New Roman" w:hAnsi="Arial" w:cs="Arial"/>
          <w:lang w:eastAsia="en-GB"/>
        </w:rPr>
        <w:t xml:space="preserve"> sets out the NICE (2014) definition of Nursing Red Flags, including the number of occasions where registered staffing fell below 75% of the standard template, with associated trend data, and the number of Red Flags recorded in SafeCare.</w:t>
      </w:r>
    </w:p>
    <w:p w14:paraId="38879759" w14:textId="77777777" w:rsidR="002F35EC" w:rsidRPr="00D765A7" w:rsidRDefault="002F35EC" w:rsidP="002F35EC">
      <w:pPr>
        <w:spacing w:before="100" w:beforeAutospacing="1" w:after="100" w:afterAutospacing="1" w:line="240" w:lineRule="auto"/>
        <w:rPr>
          <w:rFonts w:ascii="Arial" w:eastAsia="Times New Roman" w:hAnsi="Arial" w:cs="Arial"/>
          <w:lang w:eastAsia="en-GB"/>
        </w:rPr>
      </w:pPr>
      <w:r w:rsidRPr="00D765A7">
        <w:rPr>
          <w:rFonts w:ascii="Arial" w:eastAsia="Times New Roman" w:hAnsi="Arial" w:cs="Arial"/>
          <w:lang w:eastAsia="en-GB"/>
        </w:rPr>
        <w:t>The number of Red Flags recorded in SafeCare is increasing. This reflects improved awareness and training in the use and purpose of the SafeCare tool, leading to better identification and escalation of risk. Despite this improvement, under-reporting is still likely, and continued focus remains on embedding consistent use of the system to strengthen assurance.</w:t>
      </w:r>
    </w:p>
    <w:p w14:paraId="2EC3A472" w14:textId="77777777" w:rsidR="00E77D91" w:rsidRPr="00037267" w:rsidRDefault="00A47936" w:rsidP="003F4460">
      <w:pPr>
        <w:spacing w:before="240" w:after="0" w:line="240" w:lineRule="auto"/>
        <w:rPr>
          <w:rFonts w:ascii="Arial" w:hAnsi="Arial" w:cs="Arial"/>
          <w:b/>
          <w:bCs/>
          <w:color w:val="005EB8"/>
        </w:rPr>
      </w:pPr>
      <w:r w:rsidRPr="00037267">
        <w:rPr>
          <w:rFonts w:ascii="Arial" w:hAnsi="Arial" w:cs="Arial"/>
          <w:b/>
          <w:color w:val="005EB8"/>
        </w:rPr>
        <w:t xml:space="preserve">5.2 </w:t>
      </w:r>
      <w:r w:rsidR="0012522F" w:rsidRPr="00037267">
        <w:rPr>
          <w:rFonts w:ascii="Arial" w:hAnsi="Arial" w:cs="Arial"/>
          <w:b/>
          <w:color w:val="005EB8"/>
        </w:rPr>
        <w:tab/>
      </w:r>
      <w:r w:rsidR="003A275C" w:rsidRPr="00037267">
        <w:rPr>
          <w:rFonts w:ascii="Arial" w:hAnsi="Arial" w:cs="Arial"/>
          <w:b/>
          <w:bCs/>
          <w:color w:val="005EB8"/>
        </w:rPr>
        <w:t>Quality indicators (</w:t>
      </w:r>
      <w:r w:rsidR="00300346" w:rsidRPr="00037267">
        <w:rPr>
          <w:rFonts w:ascii="Arial" w:hAnsi="Arial" w:cs="Arial"/>
          <w:b/>
          <w:bCs/>
          <w:color w:val="005EB8"/>
        </w:rPr>
        <w:t>Falls</w:t>
      </w:r>
      <w:r w:rsidR="003A275C" w:rsidRPr="00037267">
        <w:rPr>
          <w:rFonts w:ascii="Arial" w:hAnsi="Arial" w:cs="Arial"/>
          <w:b/>
          <w:bCs/>
          <w:color w:val="005EB8"/>
        </w:rPr>
        <w:t>, pressure ulcers and complaints, PALS and compliments)</w:t>
      </w:r>
    </w:p>
    <w:p w14:paraId="71F59A19" w14:textId="77777777" w:rsidR="002F35EC" w:rsidRPr="007848FA" w:rsidRDefault="002F35EC" w:rsidP="002F35EC">
      <w:pPr>
        <w:spacing w:before="100" w:beforeAutospacing="1" w:after="100" w:afterAutospacing="1" w:line="240" w:lineRule="auto"/>
        <w:rPr>
          <w:rFonts w:ascii="Arial" w:eastAsia="Times New Roman" w:hAnsi="Arial" w:cs="Arial"/>
          <w:lang w:eastAsia="en-GB"/>
        </w:rPr>
      </w:pPr>
      <w:r w:rsidRPr="007848FA">
        <w:rPr>
          <w:rFonts w:ascii="Arial" w:eastAsia="Times New Roman" w:hAnsi="Arial" w:cs="Arial"/>
          <w:lang w:eastAsia="en-GB"/>
        </w:rPr>
        <w:t xml:space="preserve">November data shows a slight increase in falls (80 compared to 78 in the previous period), with Winter and Lister wards the highest contributors. Pressure ulcers increased to 41 from 30; however, professional review indicates that these were largely unavoidable, providing assurance on care quality. Two wards remain under quality </w:t>
      </w:r>
      <w:r>
        <w:rPr>
          <w:rFonts w:ascii="Arial" w:eastAsia="Times New Roman" w:hAnsi="Arial" w:cs="Arial"/>
          <w:lang w:eastAsia="en-GB"/>
        </w:rPr>
        <w:t>surveillance</w:t>
      </w:r>
      <w:r w:rsidRPr="007848FA">
        <w:rPr>
          <w:rFonts w:ascii="Arial" w:eastAsia="Times New Roman" w:hAnsi="Arial" w:cs="Arial"/>
          <w:lang w:eastAsia="en-GB"/>
        </w:rPr>
        <w:t>, both associated with high enhanced care demand, while nine wards reported zero hospital-acquired pressure ulcers (HAPUs), one of which has sustained this position for over 12 months.</w:t>
      </w:r>
    </w:p>
    <w:p w14:paraId="3EBF5BC0" w14:textId="77777777" w:rsidR="002F35EC" w:rsidRPr="007848FA" w:rsidRDefault="002F35EC" w:rsidP="002F35EC">
      <w:pPr>
        <w:spacing w:before="100" w:beforeAutospacing="1" w:after="100" w:afterAutospacing="1" w:line="240" w:lineRule="auto"/>
        <w:rPr>
          <w:rFonts w:ascii="Arial" w:eastAsia="Times New Roman" w:hAnsi="Arial" w:cs="Arial"/>
          <w:lang w:eastAsia="en-GB"/>
        </w:rPr>
      </w:pPr>
      <w:bookmarkStart w:id="4" w:name="_Hlk161741093"/>
      <w:bookmarkEnd w:id="2"/>
      <w:bookmarkEnd w:id="3"/>
      <w:r w:rsidRPr="007848FA">
        <w:rPr>
          <w:rFonts w:ascii="Arial" w:eastAsia="Times New Roman" w:hAnsi="Arial" w:cs="Arial"/>
          <w:lang w:eastAsia="en-GB"/>
        </w:rPr>
        <w:t>Complaints and PALS activity were highest in the Emergency Department (ED) and Lister Ward, with recurring themes relating to delays and communication. Compliment data continues to be inconsistently captured, limiting opportunities to share positive patient experiences and celebrate good practice.</w:t>
      </w:r>
    </w:p>
    <w:p w14:paraId="4E2FA6CC" w14:textId="77777777" w:rsidR="002F35EC" w:rsidRPr="007848FA" w:rsidRDefault="002F35EC" w:rsidP="002F35EC">
      <w:pPr>
        <w:spacing w:before="100" w:beforeAutospacing="1" w:after="100" w:afterAutospacing="1" w:line="240" w:lineRule="auto"/>
        <w:rPr>
          <w:rFonts w:ascii="Arial" w:eastAsia="Times New Roman" w:hAnsi="Arial" w:cs="Arial"/>
          <w:lang w:eastAsia="en-GB"/>
        </w:rPr>
      </w:pPr>
      <w:r w:rsidRPr="007848FA">
        <w:rPr>
          <w:rFonts w:ascii="Arial" w:eastAsia="Times New Roman" w:hAnsi="Arial" w:cs="Arial"/>
          <w:lang w:eastAsia="en-GB"/>
        </w:rPr>
        <w:lastRenderedPageBreak/>
        <w:t>Nursing Red Flags increased to 133 (from 120), predominantly related to registered nurse shortfalls and unmet enhanced care needs, with Tye Green and Penn wards reporting the highest numbers.</w:t>
      </w:r>
    </w:p>
    <w:p w14:paraId="151EB5FB" w14:textId="77777777" w:rsidR="002F35EC" w:rsidRPr="007848FA" w:rsidRDefault="002F35EC" w:rsidP="002F35EC">
      <w:pPr>
        <w:spacing w:before="100" w:beforeAutospacing="1" w:after="100" w:afterAutospacing="1" w:line="240" w:lineRule="auto"/>
        <w:rPr>
          <w:rFonts w:ascii="Arial" w:eastAsia="Times New Roman" w:hAnsi="Arial" w:cs="Arial"/>
          <w:lang w:eastAsia="en-GB"/>
        </w:rPr>
      </w:pPr>
      <w:r w:rsidRPr="007848FA">
        <w:rPr>
          <w:rFonts w:ascii="Arial" w:eastAsia="Times New Roman" w:hAnsi="Arial" w:cs="Arial"/>
          <w:lang w:eastAsia="en-GB"/>
        </w:rPr>
        <w:t xml:space="preserve">A detailed review of quality and safety indicators is provided in </w:t>
      </w:r>
      <w:r w:rsidRPr="007848FA">
        <w:rPr>
          <w:rFonts w:ascii="Arial" w:eastAsia="Times New Roman" w:hAnsi="Arial" w:cs="Arial"/>
          <w:b/>
          <w:bCs/>
          <w:lang w:eastAsia="en-GB"/>
        </w:rPr>
        <w:t>Appendix 4.</w:t>
      </w:r>
    </w:p>
    <w:p w14:paraId="563817CD" w14:textId="77777777" w:rsidR="002F35EC" w:rsidRPr="007E75C3" w:rsidRDefault="002F35EC" w:rsidP="002F35EC">
      <w:pPr>
        <w:spacing w:before="240" w:after="0" w:line="240" w:lineRule="auto"/>
        <w:jc w:val="both"/>
        <w:rPr>
          <w:rFonts w:ascii="Arial" w:hAnsi="Arial" w:cs="Arial"/>
          <w:b/>
          <w:bCs/>
          <w:color w:val="005EB8"/>
        </w:rPr>
      </w:pPr>
      <w:r w:rsidRPr="007E75C3">
        <w:rPr>
          <w:rFonts w:ascii="Arial" w:hAnsi="Arial" w:cs="Arial"/>
          <w:b/>
          <w:bCs/>
          <w:color w:val="005EB8"/>
        </w:rPr>
        <w:t xml:space="preserve">6.0 </w:t>
      </w:r>
      <w:r w:rsidRPr="007E75C3">
        <w:rPr>
          <w:rFonts w:ascii="Arial" w:hAnsi="Arial" w:cs="Arial"/>
          <w:b/>
          <w:bCs/>
          <w:color w:val="005EB8"/>
        </w:rPr>
        <w:tab/>
        <w:t>Conclusion</w:t>
      </w:r>
    </w:p>
    <w:p w14:paraId="40F60776" w14:textId="77777777" w:rsidR="002F35EC" w:rsidRPr="00D765A7" w:rsidRDefault="002F35EC" w:rsidP="002F35EC">
      <w:pPr>
        <w:spacing w:before="240" w:after="0" w:line="240" w:lineRule="auto"/>
        <w:jc w:val="both"/>
        <w:rPr>
          <w:rFonts w:ascii="Arial" w:hAnsi="Arial" w:cs="Arial"/>
          <w:b/>
          <w:bCs/>
        </w:rPr>
      </w:pPr>
      <w:r w:rsidRPr="00D765A7">
        <w:rPr>
          <w:rFonts w:ascii="Arial" w:hAnsi="Arial" w:cs="Arial"/>
        </w:rPr>
        <w:t>The Trust continues to maintain a</w:t>
      </w:r>
      <w:r w:rsidRPr="00D765A7">
        <w:rPr>
          <w:rFonts w:ascii="Arial" w:hAnsi="Arial" w:cs="Arial"/>
          <w:b/>
          <w:bCs/>
        </w:rPr>
        <w:t xml:space="preserve"> </w:t>
      </w:r>
      <w:r w:rsidRPr="00D765A7">
        <w:rPr>
          <w:rStyle w:val="Strong"/>
          <w:rFonts w:ascii="Arial" w:hAnsi="Arial" w:cs="Arial"/>
          <w:b w:val="0"/>
          <w:bCs w:val="0"/>
        </w:rPr>
        <w:t>sustained overall registered fill rate of &gt;95%</w:t>
      </w:r>
      <w:r w:rsidRPr="00D765A7">
        <w:rPr>
          <w:rFonts w:ascii="Arial" w:hAnsi="Arial" w:cs="Arial"/>
          <w:b/>
          <w:bCs/>
        </w:rPr>
        <w:t xml:space="preserve">, </w:t>
      </w:r>
      <w:r w:rsidRPr="00D765A7">
        <w:rPr>
          <w:rFonts w:ascii="Arial" w:hAnsi="Arial" w:cs="Arial"/>
        </w:rPr>
        <w:t xml:space="preserve">providing </w:t>
      </w:r>
      <w:r w:rsidRPr="00D765A7">
        <w:rPr>
          <w:rStyle w:val="Strong"/>
          <w:rFonts w:ascii="Arial" w:hAnsi="Arial" w:cs="Arial"/>
          <w:b w:val="0"/>
          <w:bCs w:val="0"/>
        </w:rPr>
        <w:t>assurance that staffing levels remain safe</w:t>
      </w:r>
      <w:r w:rsidRPr="00D765A7">
        <w:rPr>
          <w:rFonts w:ascii="Arial" w:hAnsi="Arial" w:cs="Arial"/>
          <w:b/>
          <w:bCs/>
        </w:rPr>
        <w:t xml:space="preserve">. </w:t>
      </w:r>
      <w:r w:rsidRPr="00D765A7">
        <w:rPr>
          <w:rFonts w:ascii="Arial" w:hAnsi="Arial" w:cs="Arial"/>
        </w:rPr>
        <w:t>However,</w:t>
      </w:r>
      <w:r w:rsidRPr="00D765A7">
        <w:rPr>
          <w:rFonts w:ascii="Arial" w:hAnsi="Arial" w:cs="Arial"/>
          <w:b/>
          <w:bCs/>
        </w:rPr>
        <w:t xml:space="preserve"> </w:t>
      </w:r>
      <w:r w:rsidRPr="00D765A7">
        <w:rPr>
          <w:rStyle w:val="Strong"/>
          <w:rFonts w:ascii="Arial" w:hAnsi="Arial" w:cs="Arial"/>
          <w:b w:val="0"/>
          <w:bCs w:val="0"/>
        </w:rPr>
        <w:t>acuity-driven pressures persist</w:t>
      </w:r>
      <w:r w:rsidRPr="00D765A7">
        <w:rPr>
          <w:rFonts w:ascii="Arial" w:hAnsi="Arial" w:cs="Arial"/>
          <w:b/>
          <w:bCs/>
        </w:rPr>
        <w:t xml:space="preserve">, </w:t>
      </w:r>
      <w:r w:rsidRPr="00D765A7">
        <w:rPr>
          <w:rFonts w:ascii="Arial" w:hAnsi="Arial" w:cs="Arial"/>
        </w:rPr>
        <w:t>evidenced by</w:t>
      </w:r>
      <w:r w:rsidRPr="00D765A7">
        <w:rPr>
          <w:rFonts w:ascii="Arial" w:hAnsi="Arial" w:cs="Arial"/>
          <w:b/>
          <w:bCs/>
        </w:rPr>
        <w:t xml:space="preserve"> </w:t>
      </w:r>
      <w:r w:rsidRPr="00D765A7">
        <w:rPr>
          <w:rStyle w:val="Strong"/>
          <w:rFonts w:ascii="Arial" w:hAnsi="Arial" w:cs="Arial"/>
          <w:b w:val="0"/>
          <w:bCs w:val="0"/>
        </w:rPr>
        <w:t>ongoing high enhanced care demand</w:t>
      </w:r>
      <w:r w:rsidRPr="00D765A7">
        <w:rPr>
          <w:rFonts w:ascii="Arial" w:hAnsi="Arial" w:cs="Arial"/>
        </w:rPr>
        <w:t>, and continue to place pressure on workforce resilience.</w:t>
      </w:r>
    </w:p>
    <w:p w14:paraId="580105F9" w14:textId="77777777" w:rsidR="001E29C2" w:rsidRPr="00037267" w:rsidRDefault="00F932C2" w:rsidP="003F4460">
      <w:pPr>
        <w:spacing w:before="240" w:after="0" w:line="240" w:lineRule="auto"/>
        <w:jc w:val="both"/>
        <w:rPr>
          <w:rFonts w:ascii="Arial" w:eastAsia="Times New Roman" w:hAnsi="Arial" w:cs="Arial"/>
          <w:b/>
          <w:color w:val="005EB8"/>
          <w:lang w:eastAsia="en-GB"/>
        </w:rPr>
      </w:pPr>
      <w:r w:rsidRPr="00037267">
        <w:rPr>
          <w:rFonts w:ascii="Arial" w:eastAsia="Times New Roman" w:hAnsi="Arial" w:cs="Arial"/>
          <w:b/>
          <w:color w:val="005EB8"/>
          <w:lang w:eastAsia="en-GB"/>
        </w:rPr>
        <w:t>7</w:t>
      </w:r>
      <w:r w:rsidR="004C2A2C" w:rsidRPr="00037267">
        <w:rPr>
          <w:rFonts w:ascii="Arial" w:eastAsia="Times New Roman" w:hAnsi="Arial" w:cs="Arial"/>
          <w:b/>
          <w:color w:val="005EB8"/>
          <w:lang w:eastAsia="en-GB"/>
        </w:rPr>
        <w:t xml:space="preserve">.0 </w:t>
      </w:r>
      <w:r w:rsidR="00303A61" w:rsidRPr="00037267">
        <w:rPr>
          <w:rFonts w:ascii="Arial" w:eastAsia="Times New Roman" w:hAnsi="Arial" w:cs="Arial"/>
          <w:b/>
          <w:color w:val="005EB8"/>
          <w:lang w:eastAsia="en-GB"/>
        </w:rPr>
        <w:tab/>
      </w:r>
      <w:r w:rsidR="004C2A2C" w:rsidRPr="00037267">
        <w:rPr>
          <w:rFonts w:ascii="Arial" w:eastAsia="Times New Roman" w:hAnsi="Arial" w:cs="Arial"/>
          <w:b/>
          <w:color w:val="005EB8"/>
          <w:lang w:eastAsia="en-GB"/>
        </w:rPr>
        <w:t>Recommendation</w:t>
      </w:r>
    </w:p>
    <w:p w14:paraId="61311058" w14:textId="77777777" w:rsidR="00A25A23" w:rsidRPr="00037267" w:rsidRDefault="00A25A23" w:rsidP="00A25A23">
      <w:pPr>
        <w:spacing w:before="240" w:after="0" w:line="240" w:lineRule="auto"/>
        <w:jc w:val="both"/>
        <w:rPr>
          <w:rFonts w:ascii="Arial" w:eastAsia="Times New Roman" w:hAnsi="Arial" w:cs="Arial"/>
          <w:b/>
          <w:bCs/>
          <w:lang w:eastAsia="en-GB"/>
        </w:rPr>
      </w:pPr>
      <w:bookmarkStart w:id="5" w:name="_Hlk166146819"/>
      <w:r w:rsidRPr="00037267">
        <w:rPr>
          <w:rFonts w:ascii="Arial" w:eastAsia="Times New Roman" w:hAnsi="Arial" w:cs="Arial"/>
          <w:lang w:eastAsia="en-GB"/>
        </w:rPr>
        <w:t>The Board is asked to note the contents of this report,</w:t>
      </w:r>
      <w:r w:rsidRPr="00037267">
        <w:rPr>
          <w:rFonts w:ascii="Arial" w:eastAsia="Times New Roman" w:hAnsi="Arial" w:cs="Arial"/>
          <w:b/>
          <w:bCs/>
          <w:lang w:eastAsia="en-GB"/>
        </w:rPr>
        <w:t xml:space="preserve"> </w:t>
      </w:r>
      <w:r w:rsidRPr="00037267">
        <w:rPr>
          <w:rFonts w:ascii="Arial" w:eastAsia="Times New Roman" w:hAnsi="Arial" w:cs="Arial"/>
          <w:lang w:eastAsia="en-GB"/>
        </w:rPr>
        <w:t>which provide assurance on the daily management and mitigation of nursing and midwifery staffing risks</w:t>
      </w:r>
      <w:r w:rsidRPr="00037267">
        <w:rPr>
          <w:rFonts w:ascii="Arial" w:eastAsia="Times New Roman" w:hAnsi="Arial" w:cs="Arial"/>
          <w:b/>
          <w:bCs/>
          <w:lang w:eastAsia="en-GB"/>
        </w:rPr>
        <w:t>.</w:t>
      </w:r>
    </w:p>
    <w:p w14:paraId="5B939893" w14:textId="77777777" w:rsidR="00037267" w:rsidRDefault="00037267" w:rsidP="0043100E">
      <w:pPr>
        <w:spacing w:after="0" w:line="240" w:lineRule="auto"/>
        <w:rPr>
          <w:rFonts w:ascii="Arial" w:eastAsia="Times New Roman" w:hAnsi="Arial" w:cs="Arial"/>
          <w:b/>
          <w:color w:val="005EB8"/>
          <w:lang w:eastAsia="en-GB"/>
        </w:rPr>
      </w:pPr>
    </w:p>
    <w:p w14:paraId="5D94FE2D" w14:textId="77777777" w:rsidR="00037267" w:rsidRDefault="00037267" w:rsidP="0043100E">
      <w:pPr>
        <w:spacing w:after="0" w:line="240" w:lineRule="auto"/>
        <w:rPr>
          <w:rFonts w:ascii="Arial" w:eastAsia="Times New Roman" w:hAnsi="Arial" w:cs="Arial"/>
          <w:b/>
          <w:color w:val="005EB8"/>
          <w:lang w:eastAsia="en-GB"/>
        </w:rPr>
      </w:pPr>
    </w:p>
    <w:p w14:paraId="41B3E2EE" w14:textId="77777777" w:rsidR="002F35EC" w:rsidRDefault="002F35EC" w:rsidP="0043100E">
      <w:pPr>
        <w:spacing w:after="0" w:line="240" w:lineRule="auto"/>
        <w:rPr>
          <w:rFonts w:ascii="Arial" w:eastAsia="Times New Roman" w:hAnsi="Arial" w:cs="Arial"/>
          <w:b/>
          <w:color w:val="005EB8"/>
          <w:lang w:eastAsia="en-GB"/>
        </w:rPr>
      </w:pPr>
    </w:p>
    <w:p w14:paraId="3274F57D" w14:textId="77777777" w:rsidR="002F35EC" w:rsidRDefault="002F35EC" w:rsidP="0043100E">
      <w:pPr>
        <w:spacing w:after="0" w:line="240" w:lineRule="auto"/>
        <w:rPr>
          <w:rFonts w:ascii="Arial" w:eastAsia="Times New Roman" w:hAnsi="Arial" w:cs="Arial"/>
          <w:b/>
          <w:color w:val="005EB8"/>
          <w:lang w:eastAsia="en-GB"/>
        </w:rPr>
      </w:pPr>
    </w:p>
    <w:p w14:paraId="66C1EE29" w14:textId="77777777" w:rsidR="002F35EC" w:rsidRDefault="002F35EC" w:rsidP="0043100E">
      <w:pPr>
        <w:spacing w:after="0" w:line="240" w:lineRule="auto"/>
        <w:rPr>
          <w:rFonts w:ascii="Arial" w:eastAsia="Times New Roman" w:hAnsi="Arial" w:cs="Arial"/>
          <w:b/>
          <w:color w:val="005EB8"/>
          <w:lang w:eastAsia="en-GB"/>
        </w:rPr>
      </w:pPr>
    </w:p>
    <w:p w14:paraId="35829F7F" w14:textId="77777777" w:rsidR="002F35EC" w:rsidRDefault="002F35EC" w:rsidP="0043100E">
      <w:pPr>
        <w:spacing w:after="0" w:line="240" w:lineRule="auto"/>
        <w:rPr>
          <w:rFonts w:ascii="Arial" w:eastAsia="Times New Roman" w:hAnsi="Arial" w:cs="Arial"/>
          <w:b/>
          <w:color w:val="005EB8"/>
          <w:lang w:eastAsia="en-GB"/>
        </w:rPr>
      </w:pPr>
    </w:p>
    <w:p w14:paraId="43D16B7E" w14:textId="77777777" w:rsidR="002F35EC" w:rsidRDefault="002F35EC" w:rsidP="0043100E">
      <w:pPr>
        <w:spacing w:after="0" w:line="240" w:lineRule="auto"/>
        <w:rPr>
          <w:rFonts w:ascii="Arial" w:eastAsia="Times New Roman" w:hAnsi="Arial" w:cs="Arial"/>
          <w:b/>
          <w:color w:val="005EB8"/>
          <w:lang w:eastAsia="en-GB"/>
        </w:rPr>
      </w:pPr>
    </w:p>
    <w:p w14:paraId="5E742CB4" w14:textId="77777777" w:rsidR="002F35EC" w:rsidRDefault="002F35EC" w:rsidP="0043100E">
      <w:pPr>
        <w:spacing w:after="0" w:line="240" w:lineRule="auto"/>
        <w:rPr>
          <w:rFonts w:ascii="Arial" w:eastAsia="Times New Roman" w:hAnsi="Arial" w:cs="Arial"/>
          <w:b/>
          <w:color w:val="005EB8"/>
          <w:lang w:eastAsia="en-GB"/>
        </w:rPr>
      </w:pPr>
    </w:p>
    <w:p w14:paraId="23F397B6" w14:textId="77777777" w:rsidR="002F35EC" w:rsidRDefault="002F35EC" w:rsidP="0043100E">
      <w:pPr>
        <w:spacing w:after="0" w:line="240" w:lineRule="auto"/>
        <w:rPr>
          <w:rFonts w:ascii="Arial" w:eastAsia="Times New Roman" w:hAnsi="Arial" w:cs="Arial"/>
          <w:b/>
          <w:color w:val="005EB8"/>
          <w:lang w:eastAsia="en-GB"/>
        </w:rPr>
      </w:pPr>
    </w:p>
    <w:p w14:paraId="234A06A6" w14:textId="77777777" w:rsidR="002F35EC" w:rsidRDefault="002F35EC" w:rsidP="0043100E">
      <w:pPr>
        <w:spacing w:after="0" w:line="240" w:lineRule="auto"/>
        <w:rPr>
          <w:rFonts w:ascii="Arial" w:eastAsia="Times New Roman" w:hAnsi="Arial" w:cs="Arial"/>
          <w:b/>
          <w:color w:val="005EB8"/>
          <w:lang w:eastAsia="en-GB"/>
        </w:rPr>
      </w:pPr>
    </w:p>
    <w:p w14:paraId="64210571" w14:textId="77777777" w:rsidR="002F35EC" w:rsidRDefault="002F35EC" w:rsidP="0043100E">
      <w:pPr>
        <w:spacing w:after="0" w:line="240" w:lineRule="auto"/>
        <w:rPr>
          <w:rFonts w:ascii="Arial" w:eastAsia="Times New Roman" w:hAnsi="Arial" w:cs="Arial"/>
          <w:b/>
          <w:color w:val="005EB8"/>
          <w:lang w:eastAsia="en-GB"/>
        </w:rPr>
      </w:pPr>
    </w:p>
    <w:p w14:paraId="1F2859A2" w14:textId="77777777" w:rsidR="002F35EC" w:rsidRDefault="002F35EC" w:rsidP="0043100E">
      <w:pPr>
        <w:spacing w:after="0" w:line="240" w:lineRule="auto"/>
        <w:rPr>
          <w:rFonts w:ascii="Arial" w:eastAsia="Times New Roman" w:hAnsi="Arial" w:cs="Arial"/>
          <w:b/>
          <w:color w:val="005EB8"/>
          <w:lang w:eastAsia="en-GB"/>
        </w:rPr>
      </w:pPr>
    </w:p>
    <w:p w14:paraId="1F5FB4A7" w14:textId="77777777" w:rsidR="002F35EC" w:rsidRDefault="002F35EC" w:rsidP="0043100E">
      <w:pPr>
        <w:spacing w:after="0" w:line="240" w:lineRule="auto"/>
        <w:rPr>
          <w:rFonts w:ascii="Arial" w:eastAsia="Times New Roman" w:hAnsi="Arial" w:cs="Arial"/>
          <w:b/>
          <w:color w:val="005EB8"/>
          <w:lang w:eastAsia="en-GB"/>
        </w:rPr>
      </w:pPr>
    </w:p>
    <w:p w14:paraId="2748C4AB" w14:textId="77777777" w:rsidR="002F35EC" w:rsidRDefault="002F35EC" w:rsidP="0043100E">
      <w:pPr>
        <w:spacing w:after="0" w:line="240" w:lineRule="auto"/>
        <w:rPr>
          <w:rFonts w:ascii="Arial" w:eastAsia="Times New Roman" w:hAnsi="Arial" w:cs="Arial"/>
          <w:b/>
          <w:color w:val="005EB8"/>
          <w:lang w:eastAsia="en-GB"/>
        </w:rPr>
      </w:pPr>
    </w:p>
    <w:p w14:paraId="76CFF7E3" w14:textId="77777777" w:rsidR="002F35EC" w:rsidRDefault="002F35EC" w:rsidP="0043100E">
      <w:pPr>
        <w:spacing w:after="0" w:line="240" w:lineRule="auto"/>
        <w:rPr>
          <w:rFonts w:ascii="Arial" w:eastAsia="Times New Roman" w:hAnsi="Arial" w:cs="Arial"/>
          <w:b/>
          <w:color w:val="005EB8"/>
          <w:lang w:eastAsia="en-GB"/>
        </w:rPr>
      </w:pPr>
    </w:p>
    <w:p w14:paraId="0FEFE676" w14:textId="77777777" w:rsidR="002F35EC" w:rsidRDefault="002F35EC" w:rsidP="0043100E">
      <w:pPr>
        <w:spacing w:after="0" w:line="240" w:lineRule="auto"/>
        <w:rPr>
          <w:rFonts w:ascii="Arial" w:eastAsia="Times New Roman" w:hAnsi="Arial" w:cs="Arial"/>
          <w:b/>
          <w:color w:val="005EB8"/>
          <w:lang w:eastAsia="en-GB"/>
        </w:rPr>
      </w:pPr>
    </w:p>
    <w:p w14:paraId="30946041" w14:textId="77777777" w:rsidR="002F35EC" w:rsidRDefault="002F35EC" w:rsidP="0043100E">
      <w:pPr>
        <w:spacing w:after="0" w:line="240" w:lineRule="auto"/>
        <w:rPr>
          <w:rFonts w:ascii="Arial" w:eastAsia="Times New Roman" w:hAnsi="Arial" w:cs="Arial"/>
          <w:b/>
          <w:color w:val="005EB8"/>
          <w:lang w:eastAsia="en-GB"/>
        </w:rPr>
      </w:pPr>
    </w:p>
    <w:p w14:paraId="1CD751E9" w14:textId="77777777" w:rsidR="002F35EC" w:rsidRDefault="002F35EC" w:rsidP="0043100E">
      <w:pPr>
        <w:spacing w:after="0" w:line="240" w:lineRule="auto"/>
        <w:rPr>
          <w:rFonts w:ascii="Arial" w:eastAsia="Times New Roman" w:hAnsi="Arial" w:cs="Arial"/>
          <w:b/>
          <w:color w:val="005EB8"/>
          <w:lang w:eastAsia="en-GB"/>
        </w:rPr>
      </w:pPr>
    </w:p>
    <w:p w14:paraId="19E97C33" w14:textId="77777777" w:rsidR="002F35EC" w:rsidRDefault="002F35EC" w:rsidP="0043100E">
      <w:pPr>
        <w:spacing w:after="0" w:line="240" w:lineRule="auto"/>
        <w:rPr>
          <w:rFonts w:ascii="Arial" w:eastAsia="Times New Roman" w:hAnsi="Arial" w:cs="Arial"/>
          <w:b/>
          <w:color w:val="005EB8"/>
          <w:lang w:eastAsia="en-GB"/>
        </w:rPr>
      </w:pPr>
    </w:p>
    <w:p w14:paraId="36E3038F" w14:textId="77777777" w:rsidR="002F35EC" w:rsidRDefault="002F35EC" w:rsidP="0043100E">
      <w:pPr>
        <w:spacing w:after="0" w:line="240" w:lineRule="auto"/>
        <w:rPr>
          <w:rFonts w:ascii="Arial" w:eastAsia="Times New Roman" w:hAnsi="Arial" w:cs="Arial"/>
          <w:b/>
          <w:color w:val="005EB8"/>
          <w:lang w:eastAsia="en-GB"/>
        </w:rPr>
      </w:pPr>
    </w:p>
    <w:p w14:paraId="77F70715" w14:textId="77777777" w:rsidR="002F35EC" w:rsidRDefault="002F35EC" w:rsidP="0043100E">
      <w:pPr>
        <w:spacing w:after="0" w:line="240" w:lineRule="auto"/>
        <w:rPr>
          <w:rFonts w:ascii="Arial" w:eastAsia="Times New Roman" w:hAnsi="Arial" w:cs="Arial"/>
          <w:b/>
          <w:color w:val="005EB8"/>
          <w:lang w:eastAsia="en-GB"/>
        </w:rPr>
      </w:pPr>
    </w:p>
    <w:p w14:paraId="1F1513A6" w14:textId="77777777" w:rsidR="002F35EC" w:rsidRDefault="002F35EC" w:rsidP="0043100E">
      <w:pPr>
        <w:spacing w:after="0" w:line="240" w:lineRule="auto"/>
        <w:rPr>
          <w:rFonts w:ascii="Arial" w:eastAsia="Times New Roman" w:hAnsi="Arial" w:cs="Arial"/>
          <w:b/>
          <w:color w:val="005EB8"/>
          <w:lang w:eastAsia="en-GB"/>
        </w:rPr>
      </w:pPr>
    </w:p>
    <w:p w14:paraId="31E51D6C" w14:textId="77777777" w:rsidR="002F35EC" w:rsidRDefault="002F35EC" w:rsidP="0043100E">
      <w:pPr>
        <w:spacing w:after="0" w:line="240" w:lineRule="auto"/>
        <w:rPr>
          <w:rFonts w:ascii="Arial" w:eastAsia="Times New Roman" w:hAnsi="Arial" w:cs="Arial"/>
          <w:b/>
          <w:color w:val="005EB8"/>
          <w:lang w:eastAsia="en-GB"/>
        </w:rPr>
      </w:pPr>
    </w:p>
    <w:p w14:paraId="364DC1F8" w14:textId="77777777" w:rsidR="002F35EC" w:rsidRDefault="002F35EC" w:rsidP="0043100E">
      <w:pPr>
        <w:spacing w:after="0" w:line="240" w:lineRule="auto"/>
        <w:rPr>
          <w:rFonts w:ascii="Arial" w:eastAsia="Times New Roman" w:hAnsi="Arial" w:cs="Arial"/>
          <w:b/>
          <w:color w:val="005EB8"/>
          <w:lang w:eastAsia="en-GB"/>
        </w:rPr>
      </w:pPr>
    </w:p>
    <w:p w14:paraId="7093F6CC" w14:textId="77777777" w:rsidR="002F35EC" w:rsidRDefault="002F35EC" w:rsidP="0043100E">
      <w:pPr>
        <w:spacing w:after="0" w:line="240" w:lineRule="auto"/>
        <w:rPr>
          <w:rFonts w:ascii="Arial" w:eastAsia="Times New Roman" w:hAnsi="Arial" w:cs="Arial"/>
          <w:b/>
          <w:color w:val="005EB8"/>
          <w:lang w:eastAsia="en-GB"/>
        </w:rPr>
      </w:pPr>
    </w:p>
    <w:p w14:paraId="1B8B6870" w14:textId="77777777" w:rsidR="002F35EC" w:rsidRDefault="002F35EC" w:rsidP="0043100E">
      <w:pPr>
        <w:spacing w:after="0" w:line="240" w:lineRule="auto"/>
        <w:rPr>
          <w:rFonts w:ascii="Arial" w:eastAsia="Times New Roman" w:hAnsi="Arial" w:cs="Arial"/>
          <w:b/>
          <w:color w:val="005EB8"/>
          <w:lang w:eastAsia="en-GB"/>
        </w:rPr>
      </w:pPr>
    </w:p>
    <w:p w14:paraId="79B2CDD3" w14:textId="77777777" w:rsidR="002F35EC" w:rsidRDefault="002F35EC" w:rsidP="0043100E">
      <w:pPr>
        <w:spacing w:after="0" w:line="240" w:lineRule="auto"/>
        <w:rPr>
          <w:rFonts w:ascii="Arial" w:eastAsia="Times New Roman" w:hAnsi="Arial" w:cs="Arial"/>
          <w:b/>
          <w:color w:val="005EB8"/>
          <w:lang w:eastAsia="en-GB"/>
        </w:rPr>
      </w:pPr>
    </w:p>
    <w:p w14:paraId="182EE55D" w14:textId="77777777" w:rsidR="002F35EC" w:rsidRDefault="002F35EC" w:rsidP="0043100E">
      <w:pPr>
        <w:spacing w:after="0" w:line="240" w:lineRule="auto"/>
        <w:rPr>
          <w:rFonts w:ascii="Arial" w:eastAsia="Times New Roman" w:hAnsi="Arial" w:cs="Arial"/>
          <w:b/>
          <w:color w:val="005EB8"/>
          <w:lang w:eastAsia="en-GB"/>
        </w:rPr>
      </w:pPr>
    </w:p>
    <w:p w14:paraId="625C9788" w14:textId="77777777" w:rsidR="002F35EC" w:rsidRDefault="002F35EC" w:rsidP="0043100E">
      <w:pPr>
        <w:spacing w:after="0" w:line="240" w:lineRule="auto"/>
        <w:rPr>
          <w:rFonts w:ascii="Arial" w:eastAsia="Times New Roman" w:hAnsi="Arial" w:cs="Arial"/>
          <w:b/>
          <w:color w:val="005EB8"/>
          <w:lang w:eastAsia="en-GB"/>
        </w:rPr>
      </w:pPr>
    </w:p>
    <w:p w14:paraId="2631C860" w14:textId="77777777" w:rsidR="002F35EC" w:rsidRDefault="002F35EC" w:rsidP="0043100E">
      <w:pPr>
        <w:spacing w:after="0" w:line="240" w:lineRule="auto"/>
        <w:rPr>
          <w:rFonts w:ascii="Arial" w:eastAsia="Times New Roman" w:hAnsi="Arial" w:cs="Arial"/>
          <w:b/>
          <w:color w:val="005EB8"/>
          <w:lang w:eastAsia="en-GB"/>
        </w:rPr>
      </w:pPr>
    </w:p>
    <w:p w14:paraId="742078BF" w14:textId="77777777" w:rsidR="002F35EC" w:rsidRDefault="002F35EC" w:rsidP="0043100E">
      <w:pPr>
        <w:spacing w:after="0" w:line="240" w:lineRule="auto"/>
        <w:rPr>
          <w:rFonts w:ascii="Arial" w:eastAsia="Times New Roman" w:hAnsi="Arial" w:cs="Arial"/>
          <w:b/>
          <w:color w:val="005EB8"/>
          <w:lang w:eastAsia="en-GB"/>
        </w:rPr>
      </w:pPr>
    </w:p>
    <w:p w14:paraId="51E1B0FB" w14:textId="77777777" w:rsidR="002F35EC" w:rsidRDefault="002F35EC" w:rsidP="0043100E">
      <w:pPr>
        <w:spacing w:after="0" w:line="240" w:lineRule="auto"/>
        <w:rPr>
          <w:rFonts w:ascii="Arial" w:eastAsia="Times New Roman" w:hAnsi="Arial" w:cs="Arial"/>
          <w:b/>
          <w:color w:val="005EB8"/>
          <w:lang w:eastAsia="en-GB"/>
        </w:rPr>
      </w:pPr>
    </w:p>
    <w:p w14:paraId="371595FA" w14:textId="77777777" w:rsidR="002F35EC" w:rsidRDefault="002F35EC" w:rsidP="0043100E">
      <w:pPr>
        <w:spacing w:after="0" w:line="240" w:lineRule="auto"/>
        <w:rPr>
          <w:rFonts w:ascii="Arial" w:eastAsia="Times New Roman" w:hAnsi="Arial" w:cs="Arial"/>
          <w:b/>
          <w:color w:val="005EB8"/>
          <w:lang w:eastAsia="en-GB"/>
        </w:rPr>
      </w:pPr>
    </w:p>
    <w:p w14:paraId="4C99A514" w14:textId="77777777" w:rsidR="002F35EC" w:rsidRDefault="002F35EC" w:rsidP="0043100E">
      <w:pPr>
        <w:spacing w:after="0" w:line="240" w:lineRule="auto"/>
        <w:rPr>
          <w:rFonts w:ascii="Arial" w:eastAsia="Times New Roman" w:hAnsi="Arial" w:cs="Arial"/>
          <w:b/>
          <w:color w:val="005EB8"/>
          <w:lang w:eastAsia="en-GB"/>
        </w:rPr>
      </w:pPr>
    </w:p>
    <w:p w14:paraId="77376E17" w14:textId="77777777" w:rsidR="002F35EC" w:rsidRDefault="002F35EC" w:rsidP="0043100E">
      <w:pPr>
        <w:spacing w:after="0" w:line="240" w:lineRule="auto"/>
        <w:rPr>
          <w:rFonts w:ascii="Arial" w:eastAsia="Times New Roman" w:hAnsi="Arial" w:cs="Arial"/>
          <w:b/>
          <w:color w:val="005EB8"/>
          <w:lang w:eastAsia="en-GB"/>
        </w:rPr>
      </w:pPr>
    </w:p>
    <w:p w14:paraId="7A7DDF36" w14:textId="77777777" w:rsidR="002F35EC" w:rsidRDefault="002F35EC" w:rsidP="0043100E">
      <w:pPr>
        <w:spacing w:after="0" w:line="240" w:lineRule="auto"/>
        <w:rPr>
          <w:rFonts w:ascii="Arial" w:eastAsia="Times New Roman" w:hAnsi="Arial" w:cs="Arial"/>
          <w:b/>
          <w:color w:val="005EB8"/>
          <w:lang w:eastAsia="en-GB"/>
        </w:rPr>
      </w:pPr>
    </w:p>
    <w:p w14:paraId="0EBF5BBA" w14:textId="77777777" w:rsidR="002F35EC" w:rsidRDefault="002F35EC" w:rsidP="0043100E">
      <w:pPr>
        <w:spacing w:after="0" w:line="240" w:lineRule="auto"/>
        <w:rPr>
          <w:rFonts w:ascii="Arial" w:eastAsia="Times New Roman" w:hAnsi="Arial" w:cs="Arial"/>
          <w:b/>
          <w:color w:val="005EB8"/>
          <w:lang w:eastAsia="en-GB"/>
        </w:rPr>
      </w:pPr>
    </w:p>
    <w:p w14:paraId="3E369617" w14:textId="77777777" w:rsidR="002F35EC" w:rsidRDefault="002F35EC" w:rsidP="0043100E">
      <w:pPr>
        <w:spacing w:after="0" w:line="240" w:lineRule="auto"/>
        <w:rPr>
          <w:rFonts w:ascii="Arial" w:eastAsia="Times New Roman" w:hAnsi="Arial" w:cs="Arial"/>
          <w:b/>
          <w:color w:val="005EB8"/>
          <w:lang w:eastAsia="en-GB"/>
        </w:rPr>
      </w:pPr>
    </w:p>
    <w:p w14:paraId="410C2783" w14:textId="5242892A" w:rsidR="00801A52" w:rsidRPr="00037267" w:rsidRDefault="00A822E6" w:rsidP="0043100E">
      <w:pPr>
        <w:spacing w:after="0" w:line="240" w:lineRule="auto"/>
        <w:rPr>
          <w:rFonts w:ascii="Arial" w:eastAsia="Times New Roman" w:hAnsi="Arial" w:cs="Arial"/>
          <w:b/>
          <w:i/>
          <w:color w:val="005EB8"/>
          <w:sz w:val="18"/>
          <w:szCs w:val="18"/>
          <w:lang w:eastAsia="en-GB"/>
        </w:rPr>
      </w:pPr>
      <w:r w:rsidRPr="00037267">
        <w:rPr>
          <w:rFonts w:ascii="Arial" w:eastAsia="Times New Roman" w:hAnsi="Arial" w:cs="Arial"/>
          <w:b/>
          <w:color w:val="005EB8"/>
          <w:lang w:eastAsia="en-GB"/>
        </w:rPr>
        <w:lastRenderedPageBreak/>
        <w:t>A</w:t>
      </w:r>
      <w:r w:rsidR="00F5364A" w:rsidRPr="00037267">
        <w:rPr>
          <w:rFonts w:ascii="Arial" w:eastAsia="Times New Roman" w:hAnsi="Arial" w:cs="Arial"/>
          <w:b/>
          <w:color w:val="005EB8"/>
          <w:lang w:eastAsia="en-GB"/>
        </w:rPr>
        <w:t>p</w:t>
      </w:r>
      <w:r w:rsidR="00E55390" w:rsidRPr="00037267">
        <w:rPr>
          <w:rFonts w:ascii="Arial" w:eastAsia="Times New Roman" w:hAnsi="Arial" w:cs="Arial"/>
          <w:b/>
          <w:color w:val="005EB8"/>
          <w:lang w:eastAsia="en-GB"/>
        </w:rPr>
        <w:t>pendix</w:t>
      </w:r>
      <w:r w:rsidR="00971145" w:rsidRPr="00037267">
        <w:rPr>
          <w:rFonts w:ascii="Arial" w:eastAsia="Times New Roman" w:hAnsi="Arial" w:cs="Arial"/>
          <w:b/>
          <w:color w:val="005EB8"/>
          <w:lang w:eastAsia="en-GB"/>
        </w:rPr>
        <w:t xml:space="preserve"> </w:t>
      </w:r>
      <w:r w:rsidR="00E55390" w:rsidRPr="00037267">
        <w:rPr>
          <w:rFonts w:ascii="Arial" w:eastAsia="Times New Roman" w:hAnsi="Arial" w:cs="Arial"/>
          <w:b/>
          <w:color w:val="005EB8"/>
          <w:lang w:eastAsia="en-GB"/>
        </w:rPr>
        <w:t>1</w:t>
      </w:r>
      <w:r w:rsidR="00971145" w:rsidRPr="00037267">
        <w:rPr>
          <w:rFonts w:ascii="Arial" w:eastAsia="Times New Roman" w:hAnsi="Arial" w:cs="Arial"/>
          <w:b/>
          <w:color w:val="005EB8"/>
          <w:lang w:eastAsia="en-GB"/>
        </w:rPr>
        <w:t xml:space="preserve">: </w:t>
      </w:r>
      <w:bookmarkStart w:id="6" w:name="_Hlk161740953"/>
      <w:r w:rsidR="00E55390" w:rsidRPr="00037267">
        <w:rPr>
          <w:rFonts w:ascii="Arial" w:eastAsia="Times New Roman" w:hAnsi="Arial" w:cs="Arial"/>
          <w:b/>
          <w:color w:val="005EB8"/>
          <w:lang w:eastAsia="en-GB"/>
        </w:rPr>
        <w:t>Ward level data</w:t>
      </w:r>
      <w:r w:rsidR="00AA64D6" w:rsidRPr="00037267">
        <w:rPr>
          <w:rFonts w:ascii="Arial" w:eastAsia="Times New Roman" w:hAnsi="Arial" w:cs="Arial"/>
          <w:b/>
          <w:color w:val="005EB8"/>
          <w:lang w:eastAsia="en-GB"/>
        </w:rPr>
        <w:t xml:space="preserve"> and narrative</w:t>
      </w:r>
      <w:r w:rsidR="00E55390" w:rsidRPr="00037267">
        <w:rPr>
          <w:rFonts w:ascii="Arial" w:eastAsia="Times New Roman" w:hAnsi="Arial" w:cs="Arial"/>
          <w:b/>
          <w:color w:val="005EB8"/>
          <w:lang w:eastAsia="en-GB"/>
        </w:rPr>
        <w:t xml:space="preserve">: fill rates </w:t>
      </w:r>
      <w:r w:rsidR="0057060E" w:rsidRPr="00037267">
        <w:rPr>
          <w:rFonts w:ascii="Arial" w:eastAsia="Times New Roman" w:hAnsi="Arial" w:cs="Arial"/>
          <w:b/>
          <w:bCs/>
          <w:color w:val="005EB8"/>
          <w:lang w:eastAsia="en-GB"/>
        </w:rPr>
        <w:t>Novem</w:t>
      </w:r>
      <w:r w:rsidR="001E6EC4" w:rsidRPr="00037267">
        <w:rPr>
          <w:rFonts w:ascii="Arial" w:eastAsia="Times New Roman" w:hAnsi="Arial" w:cs="Arial"/>
          <w:b/>
          <w:color w:val="005EB8"/>
          <w:lang w:eastAsia="en-GB"/>
        </w:rPr>
        <w:t>ber</w:t>
      </w:r>
      <w:r w:rsidR="00977A20" w:rsidRPr="00037267">
        <w:rPr>
          <w:rFonts w:ascii="Arial" w:eastAsia="Times New Roman" w:hAnsi="Arial" w:cs="Arial"/>
          <w:b/>
          <w:color w:val="005EB8"/>
          <w:lang w:eastAsia="en-GB"/>
        </w:rPr>
        <w:t xml:space="preserve"> 2025</w:t>
      </w:r>
      <w:r w:rsidR="008E7088" w:rsidRPr="00037267">
        <w:rPr>
          <w:rFonts w:ascii="Arial" w:eastAsia="Times New Roman" w:hAnsi="Arial" w:cs="Arial"/>
          <w:b/>
          <w:color w:val="005EB8"/>
          <w:lang w:eastAsia="en-GB"/>
        </w:rPr>
        <w:t xml:space="preserve"> </w:t>
      </w:r>
      <w:r w:rsidR="00E55390" w:rsidRPr="00037267">
        <w:rPr>
          <w:rFonts w:ascii="Arial" w:eastAsia="Times New Roman" w:hAnsi="Arial" w:cs="Arial"/>
          <w:b/>
          <w:i/>
          <w:color w:val="005EB8"/>
          <w:sz w:val="18"/>
          <w:szCs w:val="18"/>
          <w:lang w:eastAsia="en-GB"/>
        </w:rPr>
        <w:t>(Adjusted Standard Planned Ward Demand</w:t>
      </w:r>
      <w:bookmarkEnd w:id="6"/>
      <w:r w:rsidR="00E55390" w:rsidRPr="00037267">
        <w:rPr>
          <w:rFonts w:ascii="Arial" w:eastAsia="Times New Roman" w:hAnsi="Arial" w:cs="Arial"/>
          <w:b/>
          <w:i/>
          <w:color w:val="005EB8"/>
          <w:sz w:val="18"/>
          <w:szCs w:val="18"/>
          <w:lang w:eastAsia="en-GB"/>
        </w:rPr>
        <w:t>)</w:t>
      </w:r>
      <w:r w:rsidR="00AA64D6" w:rsidRPr="00037267">
        <w:rPr>
          <w:rFonts w:ascii="Arial" w:eastAsia="Times New Roman" w:hAnsi="Arial" w:cs="Arial"/>
          <w:b/>
          <w:i/>
          <w:color w:val="005EB8"/>
          <w:sz w:val="18"/>
          <w:szCs w:val="18"/>
          <w:lang w:eastAsia="en-GB"/>
        </w:rPr>
        <w:t xml:space="preserve"> </w:t>
      </w:r>
    </w:p>
    <w:tbl>
      <w:tblPr>
        <w:tblStyle w:val="TableGrid"/>
        <w:tblW w:w="0" w:type="auto"/>
        <w:tblLook w:val="04A0" w:firstRow="1" w:lastRow="0" w:firstColumn="1" w:lastColumn="0" w:noHBand="0" w:noVBand="1"/>
      </w:tblPr>
      <w:tblGrid>
        <w:gridCol w:w="2266"/>
        <w:gridCol w:w="2267"/>
        <w:gridCol w:w="2267"/>
        <w:gridCol w:w="2267"/>
      </w:tblGrid>
      <w:tr w:rsidR="007A67DE" w:rsidRPr="00037267" w14:paraId="3500EEAA" w14:textId="77777777" w:rsidTr="007A67DE">
        <w:trPr>
          <w:trHeight w:val="256"/>
        </w:trPr>
        <w:tc>
          <w:tcPr>
            <w:tcW w:w="2266" w:type="dxa"/>
            <w:shd w:val="clear" w:color="auto" w:fill="00B0F0"/>
          </w:tcPr>
          <w:bookmarkEnd w:id="5"/>
          <w:p w14:paraId="0A54A2D6" w14:textId="77777777" w:rsidR="007A67DE" w:rsidRPr="00037267" w:rsidRDefault="007A67DE" w:rsidP="007A67DE">
            <w:pPr>
              <w:spacing w:after="0" w:line="240" w:lineRule="auto"/>
              <w:jc w:val="center"/>
              <w:rPr>
                <w:rFonts w:ascii="Arial" w:eastAsia="Times New Roman" w:hAnsi="Arial" w:cs="Arial"/>
                <w:sz w:val="18"/>
                <w:szCs w:val="18"/>
                <w:lang w:eastAsia="en-GB"/>
              </w:rPr>
            </w:pPr>
            <w:r w:rsidRPr="00037267">
              <w:rPr>
                <w:rFonts w:ascii="Arial" w:eastAsia="Times New Roman" w:hAnsi="Arial" w:cs="Arial"/>
                <w:sz w:val="18"/>
                <w:szCs w:val="18"/>
                <w:lang w:eastAsia="en-GB"/>
              </w:rPr>
              <w:t>&gt;100%</w:t>
            </w:r>
          </w:p>
        </w:tc>
        <w:tc>
          <w:tcPr>
            <w:tcW w:w="2267" w:type="dxa"/>
            <w:shd w:val="clear" w:color="auto" w:fill="92D050"/>
          </w:tcPr>
          <w:p w14:paraId="6BF7A1D7" w14:textId="77777777" w:rsidR="007A67DE" w:rsidRPr="00037267" w:rsidRDefault="007A67DE" w:rsidP="007A67DE">
            <w:pPr>
              <w:spacing w:after="0" w:line="240" w:lineRule="auto"/>
              <w:jc w:val="center"/>
              <w:rPr>
                <w:rFonts w:ascii="Arial" w:eastAsia="Times New Roman" w:hAnsi="Arial" w:cs="Arial"/>
                <w:sz w:val="18"/>
                <w:szCs w:val="18"/>
                <w:lang w:eastAsia="en-GB"/>
              </w:rPr>
            </w:pPr>
            <w:r w:rsidRPr="00037267">
              <w:rPr>
                <w:rFonts w:ascii="Arial" w:eastAsia="Times New Roman" w:hAnsi="Arial" w:cs="Arial"/>
                <w:sz w:val="18"/>
                <w:szCs w:val="18"/>
                <w:lang w:eastAsia="en-GB"/>
              </w:rPr>
              <w:t>95 – 100%</w:t>
            </w:r>
          </w:p>
        </w:tc>
        <w:tc>
          <w:tcPr>
            <w:tcW w:w="2267" w:type="dxa"/>
            <w:shd w:val="clear" w:color="auto" w:fill="FFC000"/>
          </w:tcPr>
          <w:p w14:paraId="1608947E" w14:textId="77777777" w:rsidR="007A67DE" w:rsidRPr="00037267" w:rsidRDefault="007A67DE" w:rsidP="007A67DE">
            <w:pPr>
              <w:spacing w:after="0" w:line="240" w:lineRule="auto"/>
              <w:jc w:val="center"/>
              <w:rPr>
                <w:rFonts w:ascii="Arial" w:eastAsia="Times New Roman" w:hAnsi="Arial" w:cs="Arial"/>
                <w:sz w:val="18"/>
                <w:szCs w:val="18"/>
                <w:lang w:eastAsia="en-GB"/>
              </w:rPr>
            </w:pPr>
            <w:r w:rsidRPr="00037267">
              <w:rPr>
                <w:rFonts w:ascii="Arial" w:eastAsia="Times New Roman" w:hAnsi="Arial" w:cs="Arial"/>
                <w:sz w:val="18"/>
                <w:szCs w:val="18"/>
                <w:lang w:eastAsia="en-GB"/>
              </w:rPr>
              <w:t>75-95%</w:t>
            </w:r>
          </w:p>
        </w:tc>
        <w:tc>
          <w:tcPr>
            <w:tcW w:w="2267" w:type="dxa"/>
            <w:shd w:val="clear" w:color="auto" w:fill="FF0000"/>
          </w:tcPr>
          <w:p w14:paraId="62356217" w14:textId="77777777" w:rsidR="007A67DE" w:rsidRPr="00037267" w:rsidRDefault="007A67DE" w:rsidP="007A67DE">
            <w:pPr>
              <w:spacing w:after="0" w:line="240" w:lineRule="auto"/>
              <w:jc w:val="center"/>
              <w:rPr>
                <w:rFonts w:ascii="Arial" w:eastAsia="Times New Roman" w:hAnsi="Arial" w:cs="Arial"/>
                <w:sz w:val="18"/>
                <w:szCs w:val="18"/>
                <w:lang w:eastAsia="en-GB"/>
              </w:rPr>
            </w:pPr>
            <w:r w:rsidRPr="00037267">
              <w:rPr>
                <w:rFonts w:ascii="Arial" w:eastAsia="Times New Roman" w:hAnsi="Arial" w:cs="Arial"/>
                <w:sz w:val="18"/>
                <w:szCs w:val="18"/>
                <w:lang w:eastAsia="en-GB"/>
              </w:rPr>
              <w:t>&lt;75%</w:t>
            </w:r>
          </w:p>
        </w:tc>
      </w:tr>
    </w:tbl>
    <w:p w14:paraId="7FD0AF38" w14:textId="77777777" w:rsidR="007A67DE" w:rsidRPr="00037267" w:rsidRDefault="007A67DE" w:rsidP="00E55390">
      <w:pPr>
        <w:spacing w:after="0" w:line="240" w:lineRule="auto"/>
        <w:rPr>
          <w:rFonts w:ascii="Arial" w:eastAsia="Times New Roman" w:hAnsi="Arial" w:cs="Arial"/>
          <w:sz w:val="18"/>
          <w:szCs w:val="18"/>
          <w:lang w:eastAsia="en-GB"/>
        </w:rPr>
      </w:pPr>
    </w:p>
    <w:p w14:paraId="03DEF1C8" w14:textId="77777777" w:rsidR="007A67DE" w:rsidRPr="00037267" w:rsidRDefault="007A67DE" w:rsidP="00E55390">
      <w:pPr>
        <w:spacing w:after="0" w:line="240" w:lineRule="auto"/>
        <w:rPr>
          <w:rFonts w:ascii="Arial" w:eastAsia="Times New Roman" w:hAnsi="Arial" w:cs="Arial"/>
          <w:b/>
          <w:i/>
          <w:sz w:val="18"/>
          <w:szCs w:val="18"/>
          <w:lang w:eastAsia="en-GB"/>
        </w:rPr>
      </w:pPr>
    </w:p>
    <w:tbl>
      <w:tblPr>
        <w:tblStyle w:val="TableGrid"/>
        <w:tblW w:w="0" w:type="auto"/>
        <w:tblInd w:w="-142" w:type="dxa"/>
        <w:tblLook w:val="04A0" w:firstRow="1" w:lastRow="0" w:firstColumn="1" w:lastColumn="0" w:noHBand="0" w:noVBand="1"/>
      </w:tblPr>
      <w:tblGrid>
        <w:gridCol w:w="1592"/>
        <w:gridCol w:w="1667"/>
        <w:gridCol w:w="941"/>
        <w:gridCol w:w="1667"/>
        <w:gridCol w:w="941"/>
        <w:gridCol w:w="1147"/>
        <w:gridCol w:w="882"/>
        <w:gridCol w:w="882"/>
      </w:tblGrid>
      <w:tr w:rsidR="0043100E" w:rsidRPr="00037267" w14:paraId="4439808E" w14:textId="77777777" w:rsidTr="002F35EC">
        <w:trPr>
          <w:trHeight w:val="416"/>
        </w:trPr>
        <w:tc>
          <w:tcPr>
            <w:tcW w:w="1592" w:type="dxa"/>
            <w:tcBorders>
              <w:top w:val="nil"/>
              <w:left w:val="nil"/>
              <w:bottom w:val="single" w:sz="8" w:space="0" w:color="auto"/>
              <w:right w:val="single" w:sz="8" w:space="0" w:color="auto"/>
            </w:tcBorders>
          </w:tcPr>
          <w:p w14:paraId="1AEE31A4" w14:textId="77777777" w:rsidR="0043100E" w:rsidRPr="00037267" w:rsidRDefault="0043100E" w:rsidP="0043100E">
            <w:pPr>
              <w:spacing w:after="0" w:line="240" w:lineRule="auto"/>
              <w:rPr>
                <w:rFonts w:ascii="Arial" w:hAnsi="Arial" w:cs="Arial"/>
                <w:sz w:val="18"/>
                <w:szCs w:val="18"/>
              </w:rPr>
            </w:pPr>
            <w:bookmarkStart w:id="7" w:name="_Hlk198623752"/>
            <w:bookmarkStart w:id="8" w:name="_Hlk198623944"/>
            <w:bookmarkStart w:id="9" w:name="_Hlk198624073"/>
            <w:bookmarkStart w:id="10" w:name="_Hlk193188322"/>
            <w:bookmarkEnd w:id="4"/>
          </w:p>
        </w:tc>
        <w:tc>
          <w:tcPr>
            <w:tcW w:w="2608" w:type="dxa"/>
            <w:gridSpan w:val="2"/>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EF32BF5" w14:textId="77777777" w:rsidR="0043100E" w:rsidRPr="00037267" w:rsidRDefault="0043100E" w:rsidP="0043100E">
            <w:pPr>
              <w:spacing w:after="0" w:line="240" w:lineRule="auto"/>
              <w:jc w:val="center"/>
              <w:rPr>
                <w:rFonts w:ascii="Arial" w:hAnsi="Arial" w:cs="Arial"/>
                <w:b/>
                <w:sz w:val="18"/>
                <w:szCs w:val="18"/>
              </w:rPr>
            </w:pPr>
            <w:r w:rsidRPr="00037267">
              <w:rPr>
                <w:rFonts w:ascii="Arial" w:hAnsi="Arial" w:cs="Arial"/>
                <w:b/>
                <w:sz w:val="18"/>
                <w:szCs w:val="18"/>
              </w:rPr>
              <w:t>Day</w:t>
            </w:r>
          </w:p>
        </w:tc>
        <w:tc>
          <w:tcPr>
            <w:tcW w:w="2608" w:type="dxa"/>
            <w:gridSpan w:val="2"/>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1EA2582" w14:textId="77777777" w:rsidR="0043100E" w:rsidRPr="00037267" w:rsidRDefault="0043100E" w:rsidP="0043100E">
            <w:pPr>
              <w:spacing w:after="0" w:line="240" w:lineRule="auto"/>
              <w:jc w:val="center"/>
              <w:rPr>
                <w:rFonts w:ascii="Arial" w:hAnsi="Arial" w:cs="Arial"/>
                <w:b/>
                <w:sz w:val="18"/>
                <w:szCs w:val="18"/>
              </w:rPr>
            </w:pPr>
            <w:r w:rsidRPr="00037267">
              <w:rPr>
                <w:rFonts w:ascii="Arial" w:hAnsi="Arial" w:cs="Arial"/>
                <w:b/>
                <w:sz w:val="18"/>
                <w:szCs w:val="18"/>
              </w:rPr>
              <w:t>Night</w:t>
            </w:r>
          </w:p>
        </w:tc>
        <w:tc>
          <w:tcPr>
            <w:tcW w:w="2911" w:type="dxa"/>
            <w:gridSpan w:val="3"/>
            <w:tcBorders>
              <w:top w:val="nil"/>
              <w:left w:val="single" w:sz="8" w:space="0" w:color="auto"/>
              <w:bottom w:val="single" w:sz="8" w:space="0" w:color="auto"/>
              <w:right w:val="nil"/>
            </w:tcBorders>
            <w:vAlign w:val="center"/>
          </w:tcPr>
          <w:p w14:paraId="5EAD94FC" w14:textId="77777777" w:rsidR="0043100E" w:rsidRPr="00037267" w:rsidRDefault="0043100E" w:rsidP="0043100E">
            <w:pPr>
              <w:spacing w:after="0" w:line="240" w:lineRule="auto"/>
              <w:jc w:val="center"/>
              <w:rPr>
                <w:rFonts w:ascii="Arial" w:hAnsi="Arial" w:cs="Arial"/>
                <w:sz w:val="18"/>
                <w:szCs w:val="18"/>
              </w:rPr>
            </w:pPr>
          </w:p>
        </w:tc>
      </w:tr>
      <w:tr w:rsidR="0043100E" w:rsidRPr="00037267" w14:paraId="14BA8FD1" w14:textId="77777777" w:rsidTr="002F35EC">
        <w:trPr>
          <w:trHeight w:val="1062"/>
        </w:trPr>
        <w:tc>
          <w:tcPr>
            <w:tcW w:w="159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6D05AED6" w14:textId="77777777" w:rsidR="0043100E" w:rsidRPr="00037267" w:rsidRDefault="0043100E" w:rsidP="0043100E">
            <w:pPr>
              <w:spacing w:after="0" w:line="240" w:lineRule="auto"/>
              <w:jc w:val="center"/>
              <w:rPr>
                <w:rFonts w:ascii="Arial" w:hAnsi="Arial" w:cs="Arial"/>
                <w:b/>
                <w:sz w:val="18"/>
                <w:szCs w:val="18"/>
              </w:rPr>
            </w:pPr>
            <w:r w:rsidRPr="00037267">
              <w:rPr>
                <w:rFonts w:ascii="Arial" w:hAnsi="Arial" w:cs="Arial"/>
                <w:b/>
                <w:sz w:val="18"/>
                <w:szCs w:val="18"/>
              </w:rPr>
              <w:t>Ward name</w:t>
            </w:r>
          </w:p>
        </w:tc>
        <w:tc>
          <w:tcPr>
            <w:tcW w:w="166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E112D20"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3FCCEF6"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fill rate - care staff (%)</w:t>
            </w:r>
          </w:p>
        </w:tc>
        <w:tc>
          <w:tcPr>
            <w:tcW w:w="1667"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549C7EE5"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2BCF4A1"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fill rate - care staff (%)</w:t>
            </w:r>
          </w:p>
        </w:tc>
        <w:tc>
          <w:tcPr>
            <w:tcW w:w="114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6018B5E" w14:textId="77777777" w:rsidR="0043100E" w:rsidRPr="00037267" w:rsidRDefault="0043100E" w:rsidP="0043100E">
            <w:pPr>
              <w:spacing w:after="0" w:line="240" w:lineRule="auto"/>
              <w:jc w:val="center"/>
              <w:rPr>
                <w:rFonts w:ascii="Arial" w:eastAsia="Times New Roman" w:hAnsi="Arial" w:cs="Arial"/>
                <w:b/>
                <w:bCs/>
                <w:sz w:val="18"/>
                <w:szCs w:val="18"/>
                <w:lang w:eastAsia="en-GB"/>
              </w:rPr>
            </w:pPr>
            <w:r w:rsidRPr="00037267">
              <w:rPr>
                <w:rFonts w:ascii="Arial" w:eastAsia="Times New Roman" w:hAnsi="Arial" w:cs="Arial"/>
                <w:b/>
                <w:bCs/>
                <w:sz w:val="18"/>
                <w:szCs w:val="18"/>
                <w:lang w:eastAsia="en-GB"/>
              </w:rPr>
              <w:t>% Registered overall fill rate</w:t>
            </w:r>
          </w:p>
        </w:tc>
        <w:tc>
          <w:tcPr>
            <w:tcW w:w="88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44C8EE8"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HCSW overall fill rate</w:t>
            </w:r>
          </w:p>
        </w:tc>
        <w:tc>
          <w:tcPr>
            <w:tcW w:w="88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8133A90" w14:textId="77777777" w:rsidR="0043100E" w:rsidRPr="00037267" w:rsidRDefault="0043100E" w:rsidP="0043100E">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Overall fill rate</w:t>
            </w:r>
          </w:p>
        </w:tc>
      </w:tr>
      <w:bookmarkEnd w:id="7"/>
      <w:bookmarkEnd w:id="8"/>
      <w:bookmarkEnd w:id="9"/>
      <w:tr w:rsidR="002A7E9D" w:rsidRPr="00037267" w14:paraId="1DA4FF15"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42BEECF"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 xml:space="preserve">Harvey </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347569A5" w14:textId="7AE8B50F" w:rsidR="002A7E9D" w:rsidRPr="00037267" w:rsidRDefault="002A7E9D" w:rsidP="002A7E9D">
            <w:pPr>
              <w:spacing w:after="0" w:line="240" w:lineRule="auto"/>
              <w:jc w:val="center"/>
              <w:rPr>
                <w:rFonts w:ascii="Arial" w:hAnsi="Arial" w:cs="Arial"/>
                <w:b/>
                <w:bCs/>
                <w:sz w:val="18"/>
                <w:szCs w:val="18"/>
              </w:rPr>
            </w:pPr>
            <w:r w:rsidRPr="00037267">
              <w:rPr>
                <w:rFonts w:ascii="Arial" w:hAnsi="Arial" w:cs="Arial"/>
                <w:b/>
                <w:bCs/>
                <w:sz w:val="18"/>
                <w:szCs w:val="18"/>
              </w:rPr>
              <w:t>97.3%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762AEBE" w14:textId="0B30262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165.2%</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3FD673A8" w14:textId="3B54EB4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112.2%</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11FDC8F" w14:textId="70CD56E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176.0%</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5E5D1C56" w14:textId="51FDEA69"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103.4%</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514E689" w14:textId="1F6409A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170.4%</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7DDCE0B2" w14:textId="23430DD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127.7%</w:t>
            </w:r>
          </w:p>
        </w:tc>
      </w:tr>
      <w:tr w:rsidR="002A7E9D" w:rsidRPr="00037267" w14:paraId="1BC55B66"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DDA8A31"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 xml:space="preserve">Henry Moore </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23F4512B" w14:textId="308B0D8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142.4%</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EDAB084" w14:textId="5BD0DC2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143.6%</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56B2A63F" w14:textId="2A01E6F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184.2%</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EA0A71D" w14:textId="64E591D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163.1%</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1437D06A" w14:textId="76F0299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159.1%</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C4333EC" w14:textId="2CDDDF0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152.9%</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792BAE29" w14:textId="6532082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156.4%</w:t>
            </w:r>
          </w:p>
        </w:tc>
      </w:tr>
      <w:tr w:rsidR="002A7E9D" w:rsidRPr="00037267" w14:paraId="575B3FE4"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7D501F4F"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ITU &amp; HDU</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05CE0FF1" w14:textId="19F7456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103.4%</w:t>
            </w:r>
          </w:p>
        </w:tc>
        <w:tc>
          <w:tcPr>
            <w:tcW w:w="941" w:type="dxa"/>
            <w:tcBorders>
              <w:top w:val="single" w:sz="4" w:space="0" w:color="auto"/>
              <w:left w:val="nil"/>
              <w:bottom w:val="single" w:sz="4" w:space="0" w:color="auto"/>
              <w:right w:val="single" w:sz="8" w:space="0" w:color="auto"/>
            </w:tcBorders>
            <w:shd w:val="clear" w:color="000000" w:fill="92D050"/>
            <w:vAlign w:val="bottom"/>
          </w:tcPr>
          <w:p w14:paraId="4D4635F1" w14:textId="0038833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99.0%</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19902A88" w14:textId="5FD2969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4ABC5DED" w14:textId="5F49643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101.4%</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376C219E" w14:textId="0A99A8B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103.6%</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4A52800B" w14:textId="390C2AC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100.2%</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5A06F113" w14:textId="1745BE3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103.3%</w:t>
            </w:r>
          </w:p>
        </w:tc>
      </w:tr>
      <w:tr w:rsidR="002A7E9D" w:rsidRPr="00037267" w14:paraId="35B36337"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62AEED6F"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 xml:space="preserve">John Snow </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6BD7B2D5" w14:textId="13B027D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102.2%</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4CF48AB7" w14:textId="5CBEBDC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46.9%</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5C7A79B4" w14:textId="6AEBE3A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100.0%</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619BC575" w14:textId="3D26281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37.0%</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2FF2F5E4" w14:textId="57E3C5A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101.1%</w:t>
            </w:r>
          </w:p>
        </w:tc>
        <w:tc>
          <w:tcPr>
            <w:tcW w:w="882" w:type="dxa"/>
            <w:tcBorders>
              <w:top w:val="single" w:sz="4" w:space="0" w:color="auto"/>
              <w:left w:val="nil"/>
              <w:bottom w:val="single" w:sz="4" w:space="0" w:color="auto"/>
              <w:right w:val="single" w:sz="8" w:space="0" w:color="auto"/>
            </w:tcBorders>
            <w:shd w:val="clear" w:color="000000" w:fill="FF0000"/>
            <w:vAlign w:val="bottom"/>
          </w:tcPr>
          <w:p w14:paraId="16D0043F" w14:textId="2E2C7DE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42.2%</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453FA540" w14:textId="47AFC20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81.5%</w:t>
            </w:r>
          </w:p>
        </w:tc>
      </w:tr>
      <w:tr w:rsidR="002A7E9D" w:rsidRPr="00037267" w14:paraId="6D5D2D3D"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DF1FC16"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 xml:space="preserve">Penn </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0760C04C" w14:textId="4E731CF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100.6%</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5BDD118" w14:textId="7F26189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123.9%</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7E0B4302" w14:textId="01BA2669"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100.2%</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11693E6" w14:textId="5103449B"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203.2%</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2A348EE3" w14:textId="1559EF6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100.4%</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D5A5403" w14:textId="30A7D05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154.0%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4D55BDBF" w14:textId="17A2DEE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119.6%</w:t>
            </w:r>
          </w:p>
        </w:tc>
      </w:tr>
      <w:tr w:rsidR="002A7E9D" w:rsidRPr="00037267" w14:paraId="57C73235" w14:textId="77777777" w:rsidTr="002F35EC">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2A9D69BC"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Saunders</w:t>
            </w:r>
          </w:p>
        </w:tc>
        <w:tc>
          <w:tcPr>
            <w:tcW w:w="1667" w:type="dxa"/>
            <w:tcBorders>
              <w:top w:val="single" w:sz="4" w:space="0" w:color="auto"/>
              <w:left w:val="nil"/>
              <w:bottom w:val="single" w:sz="18" w:space="0" w:color="auto"/>
              <w:right w:val="single" w:sz="8" w:space="0" w:color="auto"/>
            </w:tcBorders>
            <w:shd w:val="clear" w:color="000000" w:fill="FFC000"/>
            <w:vAlign w:val="bottom"/>
          </w:tcPr>
          <w:p w14:paraId="73EE0C6A" w14:textId="57D4E6D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89.8%</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0E5F246A" w14:textId="6407F26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119.9%</w:t>
            </w:r>
          </w:p>
        </w:tc>
        <w:tc>
          <w:tcPr>
            <w:tcW w:w="1667" w:type="dxa"/>
            <w:tcBorders>
              <w:top w:val="single" w:sz="4" w:space="0" w:color="auto"/>
              <w:left w:val="nil"/>
              <w:bottom w:val="single" w:sz="18" w:space="0" w:color="auto"/>
              <w:right w:val="single" w:sz="8" w:space="0" w:color="auto"/>
            </w:tcBorders>
            <w:shd w:val="clear" w:color="000000" w:fill="00B0F0"/>
            <w:vAlign w:val="bottom"/>
          </w:tcPr>
          <w:p w14:paraId="7304AB2E" w14:textId="11A360B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122.2%</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527F827" w14:textId="65DAECD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204.4%</w:t>
            </w:r>
          </w:p>
        </w:tc>
        <w:tc>
          <w:tcPr>
            <w:tcW w:w="1147" w:type="dxa"/>
            <w:tcBorders>
              <w:top w:val="single" w:sz="4" w:space="0" w:color="auto"/>
              <w:left w:val="nil"/>
              <w:bottom w:val="single" w:sz="18" w:space="0" w:color="auto"/>
              <w:right w:val="single" w:sz="8" w:space="0" w:color="auto"/>
            </w:tcBorders>
            <w:shd w:val="clear" w:color="000000" w:fill="00B0F0"/>
            <w:vAlign w:val="bottom"/>
          </w:tcPr>
          <w:p w14:paraId="3967AE22" w14:textId="7CC209A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101.9%</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59903082" w14:textId="6288155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151.9%</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0BA1C31F" w14:textId="3E1D0A8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120.8%</w:t>
            </w:r>
          </w:p>
        </w:tc>
      </w:tr>
      <w:tr w:rsidR="002A7E9D" w:rsidRPr="00037267" w14:paraId="5DED37A6" w14:textId="77777777" w:rsidTr="002F35EC">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FDE1311" w14:textId="77777777" w:rsidR="002A7E9D" w:rsidRPr="00037267" w:rsidRDefault="002A7E9D" w:rsidP="002A7E9D">
            <w:pPr>
              <w:spacing w:after="0" w:line="240" w:lineRule="auto"/>
              <w:rPr>
                <w:rFonts w:ascii="Arial" w:hAnsi="Arial" w:cs="Arial"/>
                <w:b/>
                <w:i/>
                <w:color w:val="000000"/>
                <w:sz w:val="18"/>
                <w:szCs w:val="18"/>
              </w:rPr>
            </w:pPr>
            <w:r w:rsidRPr="00037267">
              <w:rPr>
                <w:rFonts w:ascii="Arial" w:hAnsi="Arial" w:cs="Arial"/>
                <w:b/>
                <w:i/>
                <w:color w:val="000000"/>
                <w:sz w:val="18"/>
                <w:szCs w:val="18"/>
              </w:rPr>
              <w:t xml:space="preserve">Surgery Total </w:t>
            </w:r>
          </w:p>
        </w:tc>
        <w:tc>
          <w:tcPr>
            <w:tcW w:w="1667" w:type="dxa"/>
            <w:tcBorders>
              <w:top w:val="single" w:sz="18" w:space="0" w:color="auto"/>
              <w:left w:val="nil"/>
              <w:bottom w:val="single" w:sz="18" w:space="0" w:color="auto"/>
              <w:right w:val="single" w:sz="8" w:space="0" w:color="auto"/>
            </w:tcBorders>
            <w:shd w:val="clear" w:color="000000" w:fill="00B0F0"/>
            <w:vAlign w:val="bottom"/>
          </w:tcPr>
          <w:p w14:paraId="558E37A9" w14:textId="32ADD73D" w:rsidR="002A7E9D" w:rsidRPr="00037267" w:rsidRDefault="002A7E9D" w:rsidP="002A7E9D">
            <w:pPr>
              <w:spacing w:after="0" w:line="240" w:lineRule="auto"/>
              <w:jc w:val="center"/>
              <w:rPr>
                <w:rFonts w:ascii="Arial" w:hAnsi="Arial" w:cs="Arial"/>
                <w:b/>
                <w:bCs/>
                <w:i/>
                <w:sz w:val="18"/>
                <w:szCs w:val="18"/>
              </w:rPr>
            </w:pPr>
            <w:r w:rsidRPr="00037267">
              <w:rPr>
                <w:rFonts w:ascii="Arial" w:hAnsi="Arial" w:cs="Arial"/>
                <w:b/>
                <w:bCs/>
                <w:sz w:val="18"/>
                <w:szCs w:val="18"/>
              </w:rPr>
              <w:t>103.7%</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4BFA28FC" w14:textId="3E1FA764"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124.6%</w:t>
            </w:r>
          </w:p>
        </w:tc>
        <w:tc>
          <w:tcPr>
            <w:tcW w:w="1667" w:type="dxa"/>
            <w:tcBorders>
              <w:top w:val="single" w:sz="18" w:space="0" w:color="auto"/>
              <w:left w:val="nil"/>
              <w:bottom w:val="single" w:sz="18" w:space="0" w:color="auto"/>
              <w:right w:val="single" w:sz="8" w:space="0" w:color="auto"/>
            </w:tcBorders>
            <w:shd w:val="clear" w:color="000000" w:fill="00B0F0"/>
            <w:vAlign w:val="bottom"/>
          </w:tcPr>
          <w:p w14:paraId="5703162D" w14:textId="550D754D"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113.4%</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2C7692E4" w14:textId="12D9FAAE"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163.2%</w:t>
            </w:r>
          </w:p>
        </w:tc>
        <w:tc>
          <w:tcPr>
            <w:tcW w:w="1147" w:type="dxa"/>
            <w:tcBorders>
              <w:top w:val="single" w:sz="18" w:space="0" w:color="auto"/>
              <w:left w:val="nil"/>
              <w:bottom w:val="single" w:sz="18" w:space="0" w:color="auto"/>
              <w:right w:val="single" w:sz="8" w:space="0" w:color="auto"/>
            </w:tcBorders>
            <w:shd w:val="clear" w:color="000000" w:fill="00B0F0"/>
            <w:vAlign w:val="bottom"/>
          </w:tcPr>
          <w:p w14:paraId="5BEE06CC" w14:textId="795E633A"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108.0%</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5587B55F" w14:textId="7E12FDF9"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141.3%</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5245E19D" w14:textId="3586A22E"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117.7%</w:t>
            </w:r>
          </w:p>
        </w:tc>
      </w:tr>
      <w:tr w:rsidR="002A7E9D" w:rsidRPr="00037267" w14:paraId="5EB98905" w14:textId="77777777" w:rsidTr="002F35EC">
        <w:trPr>
          <w:trHeight w:val="227"/>
        </w:trPr>
        <w:tc>
          <w:tcPr>
            <w:tcW w:w="1592" w:type="dxa"/>
            <w:tcBorders>
              <w:top w:val="single" w:sz="18" w:space="0" w:color="auto"/>
              <w:left w:val="single" w:sz="8" w:space="0" w:color="auto"/>
              <w:bottom w:val="single" w:sz="8" w:space="0" w:color="auto"/>
              <w:right w:val="single" w:sz="8" w:space="0" w:color="auto"/>
            </w:tcBorders>
            <w:vAlign w:val="center"/>
          </w:tcPr>
          <w:p w14:paraId="707CBF8E"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Fleming</w:t>
            </w:r>
          </w:p>
        </w:tc>
        <w:tc>
          <w:tcPr>
            <w:tcW w:w="1667" w:type="dxa"/>
            <w:tcBorders>
              <w:top w:val="single" w:sz="18" w:space="0" w:color="auto"/>
              <w:left w:val="nil"/>
              <w:bottom w:val="single" w:sz="4" w:space="0" w:color="auto"/>
              <w:right w:val="single" w:sz="8" w:space="0" w:color="auto"/>
            </w:tcBorders>
            <w:shd w:val="clear" w:color="000000" w:fill="FFC000"/>
            <w:vAlign w:val="bottom"/>
          </w:tcPr>
          <w:p w14:paraId="7CCDAC22" w14:textId="5293988D" w:rsidR="002A7E9D" w:rsidRPr="00037267" w:rsidRDefault="002A7E9D" w:rsidP="002A7E9D">
            <w:pPr>
              <w:spacing w:after="0" w:line="240" w:lineRule="auto"/>
              <w:jc w:val="center"/>
              <w:rPr>
                <w:rFonts w:ascii="Arial" w:hAnsi="Arial" w:cs="Arial"/>
                <w:b/>
                <w:bCs/>
                <w:sz w:val="18"/>
                <w:szCs w:val="18"/>
              </w:rPr>
            </w:pPr>
            <w:r w:rsidRPr="00037267">
              <w:rPr>
                <w:rFonts w:ascii="Arial" w:hAnsi="Arial" w:cs="Arial"/>
                <w:b/>
                <w:bCs/>
                <w:sz w:val="18"/>
                <w:szCs w:val="18"/>
              </w:rPr>
              <w:t>84.8%</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795196CC" w14:textId="36F77C2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105.3%</w:t>
            </w:r>
          </w:p>
        </w:tc>
        <w:tc>
          <w:tcPr>
            <w:tcW w:w="1667" w:type="dxa"/>
            <w:tcBorders>
              <w:top w:val="single" w:sz="18" w:space="0" w:color="auto"/>
              <w:left w:val="nil"/>
              <w:bottom w:val="single" w:sz="4" w:space="0" w:color="auto"/>
              <w:right w:val="single" w:sz="8" w:space="0" w:color="auto"/>
            </w:tcBorders>
            <w:shd w:val="clear" w:color="000000" w:fill="00B0F0"/>
            <w:vAlign w:val="bottom"/>
          </w:tcPr>
          <w:p w14:paraId="4A131974" w14:textId="2030759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100.2%</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59C44F08" w14:textId="6E9CAB9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128.3%</w:t>
            </w:r>
          </w:p>
        </w:tc>
        <w:tc>
          <w:tcPr>
            <w:tcW w:w="1147" w:type="dxa"/>
            <w:tcBorders>
              <w:top w:val="single" w:sz="18" w:space="0" w:color="auto"/>
              <w:left w:val="nil"/>
              <w:bottom w:val="single" w:sz="4" w:space="0" w:color="auto"/>
              <w:right w:val="single" w:sz="8" w:space="0" w:color="auto"/>
            </w:tcBorders>
            <w:shd w:val="clear" w:color="000000" w:fill="FFC000"/>
            <w:vAlign w:val="bottom"/>
          </w:tcPr>
          <w:p w14:paraId="5B18C237" w14:textId="31459C9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91.3%</w:t>
            </w:r>
          </w:p>
        </w:tc>
        <w:tc>
          <w:tcPr>
            <w:tcW w:w="882" w:type="dxa"/>
            <w:tcBorders>
              <w:top w:val="single" w:sz="18" w:space="0" w:color="auto"/>
              <w:left w:val="nil"/>
              <w:bottom w:val="single" w:sz="4" w:space="0" w:color="auto"/>
              <w:right w:val="single" w:sz="8" w:space="0" w:color="auto"/>
            </w:tcBorders>
            <w:shd w:val="clear" w:color="000000" w:fill="00B0F0"/>
            <w:vAlign w:val="bottom"/>
          </w:tcPr>
          <w:p w14:paraId="5FDFAFCA" w14:textId="09324D9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116.3%</w:t>
            </w:r>
          </w:p>
        </w:tc>
        <w:tc>
          <w:tcPr>
            <w:tcW w:w="882" w:type="dxa"/>
            <w:tcBorders>
              <w:top w:val="single" w:sz="18" w:space="0" w:color="auto"/>
              <w:left w:val="nil"/>
              <w:bottom w:val="single" w:sz="4" w:space="0" w:color="auto"/>
              <w:right w:val="single" w:sz="8" w:space="0" w:color="auto"/>
            </w:tcBorders>
            <w:shd w:val="clear" w:color="000000" w:fill="92D050"/>
            <w:vAlign w:val="bottom"/>
          </w:tcPr>
          <w:p w14:paraId="2367C33C" w14:textId="59CE4A9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99.0%</w:t>
            </w:r>
          </w:p>
        </w:tc>
      </w:tr>
      <w:tr w:rsidR="002A7E9D" w:rsidRPr="00037267" w14:paraId="23B76B9D"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0ECA75D0"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Harold</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08165CBF" w14:textId="367500E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90.3%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CF0B6FE" w14:textId="4F44D12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101.5%</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19A9238A" w14:textId="1F42D49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101.1%</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8C522E1" w14:textId="45BC4B8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119.8%</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0DD7B8A1" w14:textId="0FF7D7A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95.1%</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27D2B661" w14:textId="6F08C72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110.2%</w:t>
            </w:r>
          </w:p>
        </w:tc>
        <w:tc>
          <w:tcPr>
            <w:tcW w:w="882" w:type="dxa"/>
            <w:tcBorders>
              <w:top w:val="single" w:sz="4" w:space="0" w:color="auto"/>
              <w:left w:val="nil"/>
              <w:bottom w:val="single" w:sz="4" w:space="0" w:color="auto"/>
              <w:right w:val="single" w:sz="8" w:space="0" w:color="auto"/>
            </w:tcBorders>
            <w:shd w:val="clear" w:color="000000" w:fill="92D050"/>
            <w:vAlign w:val="bottom"/>
          </w:tcPr>
          <w:p w14:paraId="59AB826D" w14:textId="4A0FD47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99.9%</w:t>
            </w:r>
          </w:p>
        </w:tc>
      </w:tr>
      <w:tr w:rsidR="002A7E9D" w:rsidRPr="00037267" w14:paraId="7D8A4DEE"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EA81B9C"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 xml:space="preserve">Kingsmoor </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223804A5" w14:textId="797BB15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93.7%</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A16E0AB" w14:textId="7379E8A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126.6%</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3AB5D8D6" w14:textId="071FEED8"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112.1%</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D4C65FA" w14:textId="675CC66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143.2%</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26F118AA" w14:textId="0BF5BA1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100.7%</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0A4BFA84" w14:textId="5690157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134.5%</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1FD65BBE" w14:textId="78BB9F5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113.3%</w:t>
            </w:r>
          </w:p>
        </w:tc>
      </w:tr>
      <w:tr w:rsidR="002A7E9D" w:rsidRPr="00037267" w14:paraId="384B965E"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DDC8F5C"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Lister</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5174857A" w14:textId="61BB819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7E3176FA" w14:textId="26C120A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106.3%</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4AAE56F8" w14:textId="5F5DB8A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112.5%</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D4B5591" w14:textId="1303182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135.4%</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6E1E5D9C" w14:textId="2F92943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105.5%</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1DFA23E2" w14:textId="21D9125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120.2%</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203F5278" w14:textId="6C60CE2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111.4%</w:t>
            </w:r>
          </w:p>
        </w:tc>
      </w:tr>
      <w:tr w:rsidR="002A7E9D" w:rsidRPr="00037267" w14:paraId="4622C08E"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6D466A5"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Locke</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5D72A141" w14:textId="773F1EC9"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93.0%</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1A1283D" w14:textId="7867F78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107.8%</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6E9155AB" w14:textId="22A8DFB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8907316" w14:textId="647938B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145.4%</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389BF779" w14:textId="0722D92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96.3%</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5271A6B0" w14:textId="431F6EE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125.7%</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6D147D95" w14:textId="0365411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108.1%</w:t>
            </w:r>
          </w:p>
        </w:tc>
      </w:tr>
      <w:tr w:rsidR="002A7E9D" w:rsidRPr="00037267" w14:paraId="1BF1A621"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E41D224"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Nightingale</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7E277EA6" w14:textId="3E2AEC6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100.7%</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4C32A2C3" w14:textId="283CC04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69.1%</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4D9AE170" w14:textId="47A7A0A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102.0%</w:t>
            </w:r>
          </w:p>
        </w:tc>
        <w:tc>
          <w:tcPr>
            <w:tcW w:w="941" w:type="dxa"/>
            <w:tcBorders>
              <w:top w:val="single" w:sz="4" w:space="0" w:color="auto"/>
              <w:left w:val="nil"/>
              <w:bottom w:val="single" w:sz="4" w:space="0" w:color="auto"/>
              <w:right w:val="single" w:sz="8" w:space="0" w:color="auto"/>
            </w:tcBorders>
            <w:shd w:val="clear" w:color="000000" w:fill="92D050"/>
            <w:vAlign w:val="bottom"/>
          </w:tcPr>
          <w:p w14:paraId="49C77448" w14:textId="5EDB6F9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99.8%</w:t>
            </w:r>
          </w:p>
        </w:tc>
        <w:tc>
          <w:tcPr>
            <w:tcW w:w="1147" w:type="dxa"/>
            <w:tcBorders>
              <w:top w:val="single" w:sz="4" w:space="0" w:color="auto"/>
              <w:left w:val="nil"/>
              <w:bottom w:val="single" w:sz="4" w:space="0" w:color="auto"/>
              <w:right w:val="single" w:sz="8" w:space="0" w:color="auto"/>
            </w:tcBorders>
            <w:shd w:val="clear" w:color="000000" w:fill="00B0F0"/>
            <w:vAlign w:val="bottom"/>
          </w:tcPr>
          <w:p w14:paraId="03C4CBE5" w14:textId="64EE243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101.3%</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2FCECC96" w14:textId="1F60D1C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83.8%</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2B8B5968" w14:textId="68F902E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92.5%</w:t>
            </w:r>
          </w:p>
        </w:tc>
      </w:tr>
      <w:tr w:rsidR="002A7E9D" w:rsidRPr="00037267" w14:paraId="31D91007"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207EEE12"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Opal</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407FF737" w14:textId="6B72EE0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103.7%</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83BC82F" w14:textId="24CC25B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130.1%</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787B6652" w14:textId="1B3F5D2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93.9%</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31116149" w14:textId="54CA0AD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146.6%</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02CDECFD" w14:textId="571E018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99.0%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109539E" w14:textId="1B9ED34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138.0%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4DD9A699" w14:textId="28B0F6E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114.6%</w:t>
            </w:r>
          </w:p>
        </w:tc>
      </w:tr>
      <w:tr w:rsidR="002A7E9D" w:rsidRPr="00037267" w14:paraId="344A131F"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6F48AB37"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Ray</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51DD528B" w14:textId="3609963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91.2%</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32B47830" w14:textId="2869287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93.9%</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50738D2C" w14:textId="1CAB1D3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7BFBB29D" w14:textId="194DFC5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150.9%</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020024E1" w14:textId="4E145D9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96.3%</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5A937852" w14:textId="06178E2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115.5%</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667BBE8D" w14:textId="7592D61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103.2%</w:t>
            </w:r>
          </w:p>
        </w:tc>
      </w:tr>
      <w:tr w:rsidR="002A7E9D" w:rsidRPr="00037267" w14:paraId="18E431F9"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18CC5552"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Tye Green</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71F1E215" w14:textId="2C9B753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88.9%</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77B41C7" w14:textId="095BD64B"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120.6%</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7E975CC2" w14:textId="520C4FF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94.2%</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FCE8D25" w14:textId="2D5137C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158.3%</w:t>
            </w:r>
          </w:p>
        </w:tc>
        <w:tc>
          <w:tcPr>
            <w:tcW w:w="1147" w:type="dxa"/>
            <w:tcBorders>
              <w:top w:val="single" w:sz="4" w:space="0" w:color="auto"/>
              <w:left w:val="nil"/>
              <w:bottom w:val="single" w:sz="4" w:space="0" w:color="auto"/>
              <w:right w:val="single" w:sz="8" w:space="0" w:color="auto"/>
            </w:tcBorders>
            <w:shd w:val="clear" w:color="000000" w:fill="FFC000"/>
            <w:vAlign w:val="bottom"/>
          </w:tcPr>
          <w:p w14:paraId="020971ED" w14:textId="6037CF0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91.2%</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F644E64" w14:textId="2207168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136.0%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06201C24" w14:textId="1FB61F4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108.6%</w:t>
            </w:r>
          </w:p>
        </w:tc>
      </w:tr>
      <w:tr w:rsidR="002A7E9D" w:rsidRPr="00037267" w14:paraId="1BF4081D" w14:textId="77777777" w:rsidTr="002F35EC">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055DED56"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Winter</w:t>
            </w:r>
          </w:p>
        </w:tc>
        <w:tc>
          <w:tcPr>
            <w:tcW w:w="1667" w:type="dxa"/>
            <w:tcBorders>
              <w:top w:val="single" w:sz="4" w:space="0" w:color="auto"/>
              <w:left w:val="nil"/>
              <w:bottom w:val="single" w:sz="18" w:space="0" w:color="auto"/>
              <w:right w:val="single" w:sz="8" w:space="0" w:color="auto"/>
            </w:tcBorders>
            <w:shd w:val="clear" w:color="000000" w:fill="92D050"/>
            <w:vAlign w:val="bottom"/>
          </w:tcPr>
          <w:p w14:paraId="7F66A17A" w14:textId="78BB9BA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95.6%</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F4DD017" w14:textId="070F94E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115.3%</w:t>
            </w:r>
          </w:p>
        </w:tc>
        <w:tc>
          <w:tcPr>
            <w:tcW w:w="1667" w:type="dxa"/>
            <w:tcBorders>
              <w:top w:val="single" w:sz="4" w:space="0" w:color="auto"/>
              <w:left w:val="nil"/>
              <w:bottom w:val="single" w:sz="18" w:space="0" w:color="auto"/>
              <w:right w:val="single" w:sz="8" w:space="0" w:color="auto"/>
            </w:tcBorders>
            <w:shd w:val="clear" w:color="000000" w:fill="92D050"/>
            <w:vAlign w:val="bottom"/>
          </w:tcPr>
          <w:p w14:paraId="0734C51F" w14:textId="4E8B1C4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100.0%</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0E7AE3AC" w14:textId="2EDEE30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159.4%</w:t>
            </w:r>
          </w:p>
        </w:tc>
        <w:tc>
          <w:tcPr>
            <w:tcW w:w="1147" w:type="dxa"/>
            <w:tcBorders>
              <w:top w:val="single" w:sz="4" w:space="0" w:color="auto"/>
              <w:left w:val="nil"/>
              <w:bottom w:val="single" w:sz="18" w:space="0" w:color="auto"/>
              <w:right w:val="single" w:sz="8" w:space="0" w:color="auto"/>
            </w:tcBorders>
            <w:shd w:val="clear" w:color="000000" w:fill="92D050"/>
            <w:vAlign w:val="bottom"/>
          </w:tcPr>
          <w:p w14:paraId="1B7CF3CF" w14:textId="37B240F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97.4%</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23A21A20" w14:textId="72F82D1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136.4%</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1CD113DF" w14:textId="0EFD321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113.0%</w:t>
            </w:r>
          </w:p>
        </w:tc>
      </w:tr>
      <w:tr w:rsidR="002A7E9D" w:rsidRPr="00037267" w14:paraId="4DB60F4C" w14:textId="77777777" w:rsidTr="002F35EC">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BE7F98D" w14:textId="77777777" w:rsidR="002A7E9D" w:rsidRPr="00037267" w:rsidRDefault="002A7E9D" w:rsidP="002A7E9D">
            <w:pPr>
              <w:spacing w:after="0" w:line="240" w:lineRule="auto"/>
              <w:rPr>
                <w:rFonts w:ascii="Arial" w:hAnsi="Arial" w:cs="Arial"/>
                <w:b/>
                <w:i/>
                <w:color w:val="000000"/>
                <w:sz w:val="18"/>
                <w:szCs w:val="18"/>
              </w:rPr>
            </w:pPr>
            <w:r w:rsidRPr="00037267">
              <w:rPr>
                <w:rFonts w:ascii="Arial" w:hAnsi="Arial" w:cs="Arial"/>
                <w:b/>
                <w:i/>
                <w:color w:val="000000"/>
                <w:sz w:val="18"/>
                <w:szCs w:val="18"/>
              </w:rPr>
              <w:t xml:space="preserve">Medicine Total </w:t>
            </w:r>
          </w:p>
        </w:tc>
        <w:tc>
          <w:tcPr>
            <w:tcW w:w="1667" w:type="dxa"/>
            <w:tcBorders>
              <w:top w:val="single" w:sz="4" w:space="0" w:color="auto"/>
              <w:left w:val="nil"/>
              <w:bottom w:val="single" w:sz="18" w:space="0" w:color="auto"/>
              <w:right w:val="single" w:sz="8" w:space="0" w:color="auto"/>
            </w:tcBorders>
            <w:shd w:val="clear" w:color="000000" w:fill="FFC000"/>
            <w:vAlign w:val="bottom"/>
          </w:tcPr>
          <w:p w14:paraId="0D5D9F32" w14:textId="3D232F29" w:rsidR="002A7E9D" w:rsidRPr="00037267" w:rsidRDefault="002A7E9D" w:rsidP="002A7E9D">
            <w:pPr>
              <w:spacing w:after="0" w:line="240" w:lineRule="auto"/>
              <w:jc w:val="center"/>
              <w:rPr>
                <w:rFonts w:ascii="Arial" w:hAnsi="Arial" w:cs="Arial"/>
                <w:b/>
                <w:bCs/>
                <w:i/>
                <w:sz w:val="18"/>
                <w:szCs w:val="18"/>
              </w:rPr>
            </w:pPr>
            <w:r w:rsidRPr="00037267">
              <w:rPr>
                <w:rFonts w:ascii="Arial" w:hAnsi="Arial" w:cs="Arial"/>
                <w:b/>
                <w:bCs/>
                <w:sz w:val="18"/>
                <w:szCs w:val="18"/>
              </w:rPr>
              <w:t>93.2%</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5BB0F623" w14:textId="4AD49079"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108.8%</w:t>
            </w:r>
          </w:p>
        </w:tc>
        <w:tc>
          <w:tcPr>
            <w:tcW w:w="1667" w:type="dxa"/>
            <w:tcBorders>
              <w:top w:val="single" w:sz="4" w:space="0" w:color="auto"/>
              <w:left w:val="nil"/>
              <w:bottom w:val="single" w:sz="18" w:space="0" w:color="auto"/>
              <w:right w:val="single" w:sz="8" w:space="0" w:color="auto"/>
            </w:tcBorders>
            <w:shd w:val="clear" w:color="000000" w:fill="00B0F0"/>
            <w:vAlign w:val="bottom"/>
          </w:tcPr>
          <w:p w14:paraId="2EDF86AA" w14:textId="2EB29979"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102.0%</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503DFB74" w14:textId="3693A52F"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139.8%</w:t>
            </w:r>
          </w:p>
        </w:tc>
        <w:tc>
          <w:tcPr>
            <w:tcW w:w="1147" w:type="dxa"/>
            <w:tcBorders>
              <w:top w:val="single" w:sz="4" w:space="0" w:color="auto"/>
              <w:left w:val="nil"/>
              <w:bottom w:val="single" w:sz="18" w:space="0" w:color="auto"/>
              <w:right w:val="single" w:sz="8" w:space="0" w:color="auto"/>
            </w:tcBorders>
            <w:shd w:val="clear" w:color="000000" w:fill="92D050"/>
            <w:vAlign w:val="bottom"/>
          </w:tcPr>
          <w:p w14:paraId="74E466DB" w14:textId="5B21C220"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96.9%</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794AD7F7" w14:textId="4AC5FB9A"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123.1%</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474C1B09" w14:textId="7434F983"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106.8%</w:t>
            </w:r>
          </w:p>
        </w:tc>
      </w:tr>
      <w:tr w:rsidR="002A7E9D" w:rsidRPr="00037267" w14:paraId="408E9005" w14:textId="77777777" w:rsidTr="002F35EC">
        <w:trPr>
          <w:trHeight w:val="227"/>
        </w:trPr>
        <w:tc>
          <w:tcPr>
            <w:tcW w:w="1592"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5C75A715"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color w:val="000000"/>
                <w:sz w:val="18"/>
                <w:szCs w:val="18"/>
              </w:rPr>
              <w:t>AAU</w:t>
            </w:r>
          </w:p>
        </w:tc>
        <w:tc>
          <w:tcPr>
            <w:tcW w:w="1667" w:type="dxa"/>
            <w:tcBorders>
              <w:top w:val="single" w:sz="18" w:space="0" w:color="auto"/>
              <w:left w:val="nil"/>
              <w:bottom w:val="single" w:sz="4" w:space="0" w:color="auto"/>
              <w:right w:val="single" w:sz="8" w:space="0" w:color="auto"/>
            </w:tcBorders>
            <w:shd w:val="clear" w:color="000000" w:fill="FFC000"/>
            <w:vAlign w:val="bottom"/>
          </w:tcPr>
          <w:p w14:paraId="2897AD9E" w14:textId="5FE0F662" w:rsidR="002A7E9D" w:rsidRPr="00037267" w:rsidRDefault="002A7E9D" w:rsidP="002A7E9D">
            <w:pPr>
              <w:spacing w:after="0" w:line="240" w:lineRule="auto"/>
              <w:jc w:val="center"/>
              <w:rPr>
                <w:rFonts w:ascii="Arial" w:hAnsi="Arial" w:cs="Arial"/>
                <w:b/>
                <w:bCs/>
                <w:sz w:val="18"/>
                <w:szCs w:val="18"/>
              </w:rPr>
            </w:pPr>
            <w:r w:rsidRPr="00037267">
              <w:rPr>
                <w:rFonts w:ascii="Arial" w:hAnsi="Arial" w:cs="Arial"/>
                <w:b/>
                <w:bCs/>
                <w:sz w:val="18"/>
                <w:szCs w:val="18"/>
              </w:rPr>
              <w:t>90.6%</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5DEC49D5" w14:textId="74378EC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145.9%</w:t>
            </w:r>
          </w:p>
        </w:tc>
        <w:tc>
          <w:tcPr>
            <w:tcW w:w="1667" w:type="dxa"/>
            <w:tcBorders>
              <w:top w:val="single" w:sz="18" w:space="0" w:color="auto"/>
              <w:left w:val="nil"/>
              <w:bottom w:val="single" w:sz="4" w:space="0" w:color="auto"/>
              <w:right w:val="single" w:sz="8" w:space="0" w:color="auto"/>
            </w:tcBorders>
            <w:shd w:val="clear" w:color="000000" w:fill="00B0F0"/>
            <w:vAlign w:val="bottom"/>
          </w:tcPr>
          <w:p w14:paraId="4CD95C80" w14:textId="61A3364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101.4%</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49BE7876" w14:textId="0530298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142.6%</w:t>
            </w:r>
          </w:p>
        </w:tc>
        <w:tc>
          <w:tcPr>
            <w:tcW w:w="1147" w:type="dxa"/>
            <w:tcBorders>
              <w:top w:val="single" w:sz="18" w:space="0" w:color="auto"/>
              <w:left w:val="nil"/>
              <w:bottom w:val="single" w:sz="4" w:space="0" w:color="auto"/>
              <w:right w:val="single" w:sz="8" w:space="0" w:color="auto"/>
            </w:tcBorders>
            <w:shd w:val="clear" w:color="000000" w:fill="92D050"/>
            <w:vAlign w:val="bottom"/>
          </w:tcPr>
          <w:p w14:paraId="2B20182A" w14:textId="3A7F2ED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95.4%</w:t>
            </w:r>
          </w:p>
        </w:tc>
        <w:tc>
          <w:tcPr>
            <w:tcW w:w="882" w:type="dxa"/>
            <w:tcBorders>
              <w:top w:val="single" w:sz="18" w:space="0" w:color="auto"/>
              <w:left w:val="nil"/>
              <w:bottom w:val="single" w:sz="4" w:space="0" w:color="auto"/>
              <w:right w:val="single" w:sz="8" w:space="0" w:color="auto"/>
            </w:tcBorders>
            <w:shd w:val="clear" w:color="000000" w:fill="00B0F0"/>
            <w:vAlign w:val="bottom"/>
          </w:tcPr>
          <w:p w14:paraId="094BE02C" w14:textId="31F5198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144.3%</w:t>
            </w:r>
          </w:p>
        </w:tc>
        <w:tc>
          <w:tcPr>
            <w:tcW w:w="882" w:type="dxa"/>
            <w:tcBorders>
              <w:top w:val="single" w:sz="18" w:space="0" w:color="auto"/>
              <w:left w:val="nil"/>
              <w:bottom w:val="single" w:sz="4" w:space="0" w:color="auto"/>
              <w:right w:val="single" w:sz="8" w:space="0" w:color="auto"/>
            </w:tcBorders>
            <w:shd w:val="clear" w:color="000000" w:fill="00B0F0"/>
            <w:vAlign w:val="bottom"/>
          </w:tcPr>
          <w:p w14:paraId="3EE3B474" w14:textId="07D8A68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105.7%</w:t>
            </w:r>
          </w:p>
        </w:tc>
      </w:tr>
      <w:tr w:rsidR="002A7E9D" w:rsidRPr="00037267" w14:paraId="4BE758F9" w14:textId="77777777" w:rsidTr="002F35EC">
        <w:trPr>
          <w:trHeight w:val="227"/>
        </w:trPr>
        <w:tc>
          <w:tcPr>
            <w:tcW w:w="1592" w:type="dxa"/>
            <w:tcBorders>
              <w:top w:val="single" w:sz="8" w:space="0" w:color="auto"/>
              <w:left w:val="single" w:sz="8" w:space="0" w:color="auto"/>
              <w:bottom w:val="single" w:sz="18" w:space="0" w:color="auto"/>
              <w:right w:val="single" w:sz="8" w:space="0" w:color="auto"/>
            </w:tcBorders>
            <w:shd w:val="clear" w:color="auto" w:fill="FFFFFF" w:themeFill="background1"/>
            <w:vAlign w:val="center"/>
          </w:tcPr>
          <w:p w14:paraId="3837ED67"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color w:val="000000"/>
                <w:sz w:val="18"/>
                <w:szCs w:val="18"/>
              </w:rPr>
              <w:t>Charnley</w:t>
            </w:r>
          </w:p>
        </w:tc>
        <w:tc>
          <w:tcPr>
            <w:tcW w:w="1667" w:type="dxa"/>
            <w:tcBorders>
              <w:top w:val="single" w:sz="4" w:space="0" w:color="auto"/>
              <w:left w:val="nil"/>
              <w:bottom w:val="single" w:sz="18" w:space="0" w:color="auto"/>
              <w:right w:val="single" w:sz="8" w:space="0" w:color="auto"/>
            </w:tcBorders>
            <w:shd w:val="clear" w:color="000000" w:fill="92D050"/>
            <w:vAlign w:val="bottom"/>
          </w:tcPr>
          <w:p w14:paraId="549B5D3C" w14:textId="742FC09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95.3%</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6754B850" w14:textId="52A9C07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140.8%</w:t>
            </w:r>
          </w:p>
        </w:tc>
        <w:tc>
          <w:tcPr>
            <w:tcW w:w="1667" w:type="dxa"/>
            <w:tcBorders>
              <w:top w:val="single" w:sz="4" w:space="0" w:color="auto"/>
              <w:left w:val="nil"/>
              <w:bottom w:val="single" w:sz="18" w:space="0" w:color="auto"/>
              <w:right w:val="single" w:sz="8" w:space="0" w:color="auto"/>
            </w:tcBorders>
            <w:shd w:val="clear" w:color="000000" w:fill="92D050"/>
            <w:vAlign w:val="bottom"/>
          </w:tcPr>
          <w:p w14:paraId="382FB605" w14:textId="233341B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95.4%</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966B94E" w14:textId="58B054E9"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164.8%</w:t>
            </w:r>
          </w:p>
        </w:tc>
        <w:tc>
          <w:tcPr>
            <w:tcW w:w="1147" w:type="dxa"/>
            <w:tcBorders>
              <w:top w:val="single" w:sz="4" w:space="0" w:color="auto"/>
              <w:left w:val="nil"/>
              <w:bottom w:val="single" w:sz="18" w:space="0" w:color="auto"/>
              <w:right w:val="single" w:sz="8" w:space="0" w:color="auto"/>
            </w:tcBorders>
            <w:shd w:val="clear" w:color="000000" w:fill="92D050"/>
            <w:vAlign w:val="bottom"/>
          </w:tcPr>
          <w:p w14:paraId="14DFB6DC" w14:textId="0F8334A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95.4%</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6576E15F" w14:textId="417E07C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152.3%</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1CB0F658" w14:textId="5C86B4A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111.6%</w:t>
            </w:r>
          </w:p>
        </w:tc>
      </w:tr>
      <w:tr w:rsidR="002A7E9D" w:rsidRPr="00037267" w14:paraId="60B04C6E" w14:textId="77777777" w:rsidTr="002F35EC">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54D1B7B" w14:textId="77777777" w:rsidR="002A7E9D" w:rsidRPr="00037267" w:rsidRDefault="002A7E9D" w:rsidP="002A7E9D">
            <w:pPr>
              <w:spacing w:after="0" w:line="240" w:lineRule="auto"/>
              <w:rPr>
                <w:rFonts w:ascii="Arial" w:hAnsi="Arial" w:cs="Arial"/>
                <w:b/>
                <w:i/>
                <w:color w:val="000000"/>
                <w:sz w:val="18"/>
                <w:szCs w:val="18"/>
              </w:rPr>
            </w:pPr>
            <w:r w:rsidRPr="00037267">
              <w:rPr>
                <w:rFonts w:ascii="Arial" w:hAnsi="Arial" w:cs="Arial"/>
                <w:b/>
                <w:i/>
                <w:color w:val="000000"/>
                <w:sz w:val="18"/>
                <w:szCs w:val="18"/>
              </w:rPr>
              <w:t>UEC Total</w:t>
            </w:r>
          </w:p>
        </w:tc>
        <w:tc>
          <w:tcPr>
            <w:tcW w:w="1667" w:type="dxa"/>
            <w:tcBorders>
              <w:top w:val="single" w:sz="18" w:space="0" w:color="auto"/>
              <w:left w:val="nil"/>
              <w:bottom w:val="single" w:sz="18" w:space="0" w:color="auto"/>
              <w:right w:val="single" w:sz="8" w:space="0" w:color="auto"/>
            </w:tcBorders>
            <w:shd w:val="clear" w:color="000000" w:fill="FFC000"/>
            <w:vAlign w:val="bottom"/>
          </w:tcPr>
          <w:p w14:paraId="7A23FB0C" w14:textId="40EC64AC" w:rsidR="002A7E9D" w:rsidRPr="00037267" w:rsidRDefault="002A7E9D" w:rsidP="002A7E9D">
            <w:pPr>
              <w:spacing w:after="0" w:line="240" w:lineRule="auto"/>
              <w:jc w:val="center"/>
              <w:rPr>
                <w:rFonts w:ascii="Arial" w:hAnsi="Arial" w:cs="Arial"/>
                <w:b/>
                <w:bCs/>
                <w:i/>
                <w:sz w:val="18"/>
                <w:szCs w:val="18"/>
              </w:rPr>
            </w:pPr>
            <w:r w:rsidRPr="00037267">
              <w:rPr>
                <w:rFonts w:ascii="Arial" w:hAnsi="Arial" w:cs="Arial"/>
                <w:b/>
                <w:bCs/>
                <w:sz w:val="18"/>
                <w:szCs w:val="18"/>
              </w:rPr>
              <w:t>92.4%</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5162F27F" w14:textId="4E2AB304"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143.3%</w:t>
            </w:r>
          </w:p>
        </w:tc>
        <w:tc>
          <w:tcPr>
            <w:tcW w:w="1667" w:type="dxa"/>
            <w:tcBorders>
              <w:top w:val="single" w:sz="18" w:space="0" w:color="auto"/>
              <w:left w:val="nil"/>
              <w:bottom w:val="single" w:sz="18" w:space="0" w:color="auto"/>
              <w:right w:val="single" w:sz="8" w:space="0" w:color="auto"/>
            </w:tcBorders>
            <w:shd w:val="clear" w:color="000000" w:fill="92D050"/>
            <w:vAlign w:val="bottom"/>
          </w:tcPr>
          <w:p w14:paraId="5BFDC4C8" w14:textId="6069E48A"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98.9%</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317313E9" w14:textId="6CDC7163"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153.7%</w:t>
            </w:r>
          </w:p>
        </w:tc>
        <w:tc>
          <w:tcPr>
            <w:tcW w:w="1147" w:type="dxa"/>
            <w:tcBorders>
              <w:top w:val="single" w:sz="18" w:space="0" w:color="auto"/>
              <w:left w:val="nil"/>
              <w:bottom w:val="single" w:sz="18" w:space="0" w:color="auto"/>
              <w:right w:val="single" w:sz="8" w:space="0" w:color="auto"/>
            </w:tcBorders>
            <w:shd w:val="clear" w:color="000000" w:fill="92D050"/>
            <w:vAlign w:val="bottom"/>
          </w:tcPr>
          <w:p w14:paraId="26CF90A9" w14:textId="18E0EF23"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95.4%</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03ED7405" w14:textId="0490DA9B"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148.3%</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4788A860" w14:textId="79A00D5A"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108.2%</w:t>
            </w:r>
          </w:p>
        </w:tc>
      </w:tr>
      <w:tr w:rsidR="002A7E9D" w:rsidRPr="00037267" w14:paraId="43CA7DBD" w14:textId="77777777" w:rsidTr="002F35EC">
        <w:trPr>
          <w:trHeight w:val="227"/>
        </w:trPr>
        <w:tc>
          <w:tcPr>
            <w:tcW w:w="1592" w:type="dxa"/>
            <w:tcBorders>
              <w:top w:val="single" w:sz="18" w:space="0" w:color="auto"/>
              <w:left w:val="single" w:sz="8" w:space="0" w:color="auto"/>
              <w:bottom w:val="single" w:sz="8" w:space="0" w:color="auto"/>
              <w:right w:val="single" w:sz="8" w:space="0" w:color="auto"/>
            </w:tcBorders>
            <w:vAlign w:val="center"/>
          </w:tcPr>
          <w:p w14:paraId="667104D4"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Birthing</w:t>
            </w:r>
          </w:p>
        </w:tc>
        <w:tc>
          <w:tcPr>
            <w:tcW w:w="1667" w:type="dxa"/>
            <w:tcBorders>
              <w:top w:val="single" w:sz="18" w:space="0" w:color="auto"/>
              <w:left w:val="nil"/>
              <w:bottom w:val="single" w:sz="4" w:space="0" w:color="auto"/>
              <w:right w:val="single" w:sz="8" w:space="0" w:color="auto"/>
            </w:tcBorders>
            <w:shd w:val="clear" w:color="000000" w:fill="FFC000"/>
            <w:vAlign w:val="bottom"/>
          </w:tcPr>
          <w:p w14:paraId="18D3364C" w14:textId="199E7874" w:rsidR="002A7E9D" w:rsidRPr="00037267" w:rsidRDefault="002A7E9D" w:rsidP="002A7E9D">
            <w:pPr>
              <w:spacing w:after="0" w:line="240" w:lineRule="auto"/>
              <w:jc w:val="center"/>
              <w:rPr>
                <w:rFonts w:ascii="Arial" w:hAnsi="Arial" w:cs="Arial"/>
                <w:b/>
                <w:bCs/>
                <w:sz w:val="18"/>
                <w:szCs w:val="18"/>
              </w:rPr>
            </w:pPr>
            <w:r w:rsidRPr="00037267">
              <w:rPr>
                <w:rFonts w:ascii="Arial" w:hAnsi="Arial" w:cs="Arial"/>
                <w:b/>
                <w:bCs/>
                <w:sz w:val="18"/>
                <w:szCs w:val="18"/>
              </w:rPr>
              <w:t>90.3%</w:t>
            </w:r>
          </w:p>
        </w:tc>
        <w:tc>
          <w:tcPr>
            <w:tcW w:w="941" w:type="dxa"/>
            <w:tcBorders>
              <w:top w:val="single" w:sz="18" w:space="0" w:color="auto"/>
              <w:left w:val="nil"/>
              <w:bottom w:val="single" w:sz="4" w:space="0" w:color="auto"/>
              <w:right w:val="single" w:sz="8" w:space="0" w:color="auto"/>
            </w:tcBorders>
            <w:shd w:val="clear" w:color="000000" w:fill="FFC000"/>
            <w:vAlign w:val="bottom"/>
          </w:tcPr>
          <w:p w14:paraId="79D6D00E" w14:textId="147E66A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91.7%</w:t>
            </w:r>
          </w:p>
        </w:tc>
        <w:tc>
          <w:tcPr>
            <w:tcW w:w="1667" w:type="dxa"/>
            <w:tcBorders>
              <w:top w:val="single" w:sz="18" w:space="0" w:color="auto"/>
              <w:left w:val="nil"/>
              <w:bottom w:val="single" w:sz="4" w:space="0" w:color="auto"/>
              <w:right w:val="single" w:sz="8" w:space="0" w:color="auto"/>
            </w:tcBorders>
            <w:shd w:val="clear" w:color="000000" w:fill="FFC000"/>
            <w:vAlign w:val="bottom"/>
          </w:tcPr>
          <w:p w14:paraId="40F8B01B" w14:textId="3068BD2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85.6%</w:t>
            </w:r>
          </w:p>
        </w:tc>
        <w:tc>
          <w:tcPr>
            <w:tcW w:w="941" w:type="dxa"/>
            <w:tcBorders>
              <w:top w:val="single" w:sz="18" w:space="0" w:color="auto"/>
              <w:left w:val="nil"/>
              <w:bottom w:val="single" w:sz="4" w:space="0" w:color="auto"/>
              <w:right w:val="single" w:sz="8" w:space="0" w:color="auto"/>
            </w:tcBorders>
            <w:shd w:val="clear" w:color="000000" w:fill="FFC000"/>
            <w:vAlign w:val="bottom"/>
          </w:tcPr>
          <w:p w14:paraId="1F88E1F0" w14:textId="020B8E8B"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80.0%</w:t>
            </w:r>
          </w:p>
        </w:tc>
        <w:tc>
          <w:tcPr>
            <w:tcW w:w="1147" w:type="dxa"/>
            <w:tcBorders>
              <w:top w:val="single" w:sz="18" w:space="0" w:color="auto"/>
              <w:left w:val="nil"/>
              <w:bottom w:val="single" w:sz="4" w:space="0" w:color="auto"/>
              <w:right w:val="single" w:sz="8" w:space="0" w:color="auto"/>
            </w:tcBorders>
            <w:shd w:val="clear" w:color="000000" w:fill="FFC000"/>
            <w:vAlign w:val="bottom"/>
          </w:tcPr>
          <w:p w14:paraId="61507DC4" w14:textId="0461360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88.0%</w:t>
            </w:r>
          </w:p>
        </w:tc>
        <w:tc>
          <w:tcPr>
            <w:tcW w:w="882" w:type="dxa"/>
            <w:tcBorders>
              <w:top w:val="single" w:sz="18" w:space="0" w:color="auto"/>
              <w:left w:val="nil"/>
              <w:bottom w:val="single" w:sz="4" w:space="0" w:color="auto"/>
              <w:right w:val="single" w:sz="8" w:space="0" w:color="auto"/>
            </w:tcBorders>
            <w:shd w:val="clear" w:color="000000" w:fill="FFC000"/>
            <w:vAlign w:val="bottom"/>
          </w:tcPr>
          <w:p w14:paraId="67F5B047" w14:textId="4E4380B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86.1%</w:t>
            </w:r>
          </w:p>
        </w:tc>
        <w:tc>
          <w:tcPr>
            <w:tcW w:w="882" w:type="dxa"/>
            <w:tcBorders>
              <w:top w:val="single" w:sz="18" w:space="0" w:color="auto"/>
              <w:left w:val="nil"/>
              <w:bottom w:val="single" w:sz="4" w:space="0" w:color="auto"/>
              <w:right w:val="single" w:sz="8" w:space="0" w:color="auto"/>
            </w:tcBorders>
            <w:shd w:val="clear" w:color="000000" w:fill="FFC000"/>
            <w:vAlign w:val="bottom"/>
          </w:tcPr>
          <w:p w14:paraId="57787918" w14:textId="4EF6CAA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87.4%</w:t>
            </w:r>
          </w:p>
        </w:tc>
      </w:tr>
      <w:tr w:rsidR="002A7E9D" w:rsidRPr="00037267" w14:paraId="60F93A38"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4A468457"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Chamberlen</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0E4FDECA" w14:textId="62B7F89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96.0%</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2922B56A" w14:textId="77E3F69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87.9%</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339668AB" w14:textId="2F31EAEB"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90.8%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C3A34B3" w14:textId="1AC79E8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102.7%</w:t>
            </w:r>
          </w:p>
        </w:tc>
        <w:tc>
          <w:tcPr>
            <w:tcW w:w="1147" w:type="dxa"/>
            <w:tcBorders>
              <w:top w:val="single" w:sz="4" w:space="0" w:color="auto"/>
              <w:left w:val="nil"/>
              <w:bottom w:val="single" w:sz="4" w:space="0" w:color="auto"/>
              <w:right w:val="single" w:sz="8" w:space="0" w:color="auto"/>
            </w:tcBorders>
            <w:shd w:val="clear" w:color="000000" w:fill="FFC000"/>
            <w:vAlign w:val="bottom"/>
          </w:tcPr>
          <w:p w14:paraId="500482EE" w14:textId="152D555A"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93.5%</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581FBE60" w14:textId="5E48660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95.0%</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54D74184" w14:textId="16E1BDB4"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93.9%</w:t>
            </w:r>
          </w:p>
        </w:tc>
      </w:tr>
      <w:tr w:rsidR="002A7E9D" w:rsidRPr="00037267" w14:paraId="04F57B8A"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43B6B4E"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Dolphin</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06907DEF" w14:textId="7F926F8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90.0%</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703BF132" w14:textId="2739E4E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88.3%</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46A0EDEB" w14:textId="4460343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100.1%</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26D439CC" w14:textId="0F167F0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94.2%</w:t>
            </w:r>
          </w:p>
        </w:tc>
        <w:tc>
          <w:tcPr>
            <w:tcW w:w="1147" w:type="dxa"/>
            <w:tcBorders>
              <w:top w:val="single" w:sz="4" w:space="0" w:color="auto"/>
              <w:left w:val="nil"/>
              <w:bottom w:val="single" w:sz="4" w:space="0" w:color="auto"/>
              <w:right w:val="single" w:sz="8" w:space="0" w:color="auto"/>
            </w:tcBorders>
            <w:shd w:val="clear" w:color="000000" w:fill="FFC000"/>
            <w:vAlign w:val="bottom"/>
          </w:tcPr>
          <w:p w14:paraId="36BA1064" w14:textId="5E2D68C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94.5%</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1B139888" w14:textId="034666E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90.3%</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59CF68D4" w14:textId="7BCE27B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93.5%</w:t>
            </w:r>
          </w:p>
        </w:tc>
      </w:tr>
      <w:tr w:rsidR="002A7E9D" w:rsidRPr="00037267" w14:paraId="4AA508D3"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58910D89"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Labour</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4FC127A5" w14:textId="78CB0ECD"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95.8%</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401ACDD7" w14:textId="264860C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85.0%</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5F579655" w14:textId="61346B9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95.7%</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3E2F23EE" w14:textId="3D49E6C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81.7%</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31822E43" w14:textId="41CFAE2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95.7%</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6A35A125" w14:textId="64D264A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83.4%</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2673FC5B" w14:textId="0E01DA2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93.0%</w:t>
            </w:r>
          </w:p>
        </w:tc>
      </w:tr>
      <w:tr w:rsidR="002A7E9D" w:rsidRPr="00037267" w14:paraId="06E8B36A" w14:textId="77777777" w:rsidTr="002F35EC">
        <w:trPr>
          <w:trHeight w:val="227"/>
        </w:trPr>
        <w:tc>
          <w:tcPr>
            <w:tcW w:w="1592" w:type="dxa"/>
            <w:tcBorders>
              <w:top w:val="single" w:sz="8" w:space="0" w:color="auto"/>
              <w:left w:val="single" w:sz="8" w:space="0" w:color="auto"/>
              <w:bottom w:val="single" w:sz="8" w:space="0" w:color="auto"/>
              <w:right w:val="single" w:sz="8" w:space="0" w:color="auto"/>
            </w:tcBorders>
            <w:vAlign w:val="center"/>
          </w:tcPr>
          <w:p w14:paraId="3850515B"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Neo-Natal Unit</w:t>
            </w:r>
          </w:p>
        </w:tc>
        <w:tc>
          <w:tcPr>
            <w:tcW w:w="1667" w:type="dxa"/>
            <w:tcBorders>
              <w:top w:val="single" w:sz="4" w:space="0" w:color="auto"/>
              <w:left w:val="nil"/>
              <w:bottom w:val="single" w:sz="4" w:space="0" w:color="auto"/>
              <w:right w:val="single" w:sz="8" w:space="0" w:color="auto"/>
            </w:tcBorders>
            <w:shd w:val="clear" w:color="000000" w:fill="FFC000"/>
            <w:vAlign w:val="bottom"/>
          </w:tcPr>
          <w:p w14:paraId="7C4DED91" w14:textId="60F3F96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93.6%</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549FC7E3" w14:textId="24FF9313"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83.6%</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10C4452E" w14:textId="2B35B9D2"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100.3%</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549EB6E6" w14:textId="2A4EE35B"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73.3%</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67DB7071" w14:textId="300086C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97.0%</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6875858D" w14:textId="00C77987"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78.5%</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7F915EA4" w14:textId="03805E6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93.9%</w:t>
            </w:r>
          </w:p>
        </w:tc>
      </w:tr>
      <w:tr w:rsidR="002A7E9D" w:rsidRPr="00037267" w14:paraId="26D2B52B" w14:textId="77777777" w:rsidTr="002F35EC">
        <w:trPr>
          <w:trHeight w:val="227"/>
        </w:trPr>
        <w:tc>
          <w:tcPr>
            <w:tcW w:w="1592" w:type="dxa"/>
            <w:tcBorders>
              <w:top w:val="single" w:sz="8" w:space="0" w:color="auto"/>
              <w:left w:val="single" w:sz="8" w:space="0" w:color="auto"/>
              <w:bottom w:val="single" w:sz="18" w:space="0" w:color="auto"/>
              <w:right w:val="single" w:sz="8" w:space="0" w:color="auto"/>
            </w:tcBorders>
            <w:vAlign w:val="center"/>
          </w:tcPr>
          <w:p w14:paraId="2837AA79" w14:textId="77777777" w:rsidR="002A7E9D" w:rsidRPr="00037267" w:rsidRDefault="002A7E9D" w:rsidP="002A7E9D">
            <w:pPr>
              <w:spacing w:after="0" w:line="240" w:lineRule="auto"/>
              <w:rPr>
                <w:rFonts w:ascii="Arial" w:hAnsi="Arial" w:cs="Arial"/>
                <w:color w:val="000000"/>
                <w:sz w:val="18"/>
                <w:szCs w:val="18"/>
              </w:rPr>
            </w:pPr>
            <w:r w:rsidRPr="00037267">
              <w:rPr>
                <w:rFonts w:ascii="Arial" w:hAnsi="Arial" w:cs="Arial"/>
                <w:sz w:val="18"/>
                <w:szCs w:val="18"/>
              </w:rPr>
              <w:t>Samson</w:t>
            </w:r>
          </w:p>
        </w:tc>
        <w:tc>
          <w:tcPr>
            <w:tcW w:w="1667" w:type="dxa"/>
            <w:tcBorders>
              <w:top w:val="single" w:sz="4" w:space="0" w:color="auto"/>
              <w:left w:val="nil"/>
              <w:bottom w:val="single" w:sz="18" w:space="0" w:color="auto"/>
              <w:right w:val="single" w:sz="8" w:space="0" w:color="auto"/>
            </w:tcBorders>
            <w:shd w:val="clear" w:color="000000" w:fill="92D050"/>
            <w:vAlign w:val="bottom"/>
          </w:tcPr>
          <w:p w14:paraId="7A93A9F0" w14:textId="64AFC7CE"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98.0%</w:t>
            </w:r>
          </w:p>
        </w:tc>
        <w:tc>
          <w:tcPr>
            <w:tcW w:w="941" w:type="dxa"/>
            <w:tcBorders>
              <w:top w:val="single" w:sz="4" w:space="0" w:color="auto"/>
              <w:left w:val="nil"/>
              <w:bottom w:val="single" w:sz="18" w:space="0" w:color="auto"/>
              <w:right w:val="single" w:sz="8" w:space="0" w:color="auto"/>
            </w:tcBorders>
            <w:shd w:val="clear" w:color="000000" w:fill="FFC000"/>
            <w:vAlign w:val="bottom"/>
          </w:tcPr>
          <w:p w14:paraId="0DEB4F0E" w14:textId="48012A95"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94.3%</w:t>
            </w:r>
          </w:p>
        </w:tc>
        <w:tc>
          <w:tcPr>
            <w:tcW w:w="1667" w:type="dxa"/>
            <w:tcBorders>
              <w:top w:val="single" w:sz="4" w:space="0" w:color="auto"/>
              <w:left w:val="nil"/>
              <w:bottom w:val="single" w:sz="18" w:space="0" w:color="auto"/>
              <w:right w:val="single" w:sz="8" w:space="0" w:color="auto"/>
            </w:tcBorders>
            <w:shd w:val="clear" w:color="000000" w:fill="FFC000"/>
            <w:vAlign w:val="bottom"/>
          </w:tcPr>
          <w:p w14:paraId="17449119" w14:textId="6C70794C"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94.5%</w:t>
            </w:r>
          </w:p>
        </w:tc>
        <w:tc>
          <w:tcPr>
            <w:tcW w:w="941" w:type="dxa"/>
            <w:tcBorders>
              <w:top w:val="single" w:sz="4" w:space="0" w:color="auto"/>
              <w:left w:val="nil"/>
              <w:bottom w:val="single" w:sz="18" w:space="0" w:color="auto"/>
              <w:right w:val="single" w:sz="8" w:space="0" w:color="auto"/>
            </w:tcBorders>
            <w:shd w:val="clear" w:color="000000" w:fill="FFC000"/>
            <w:vAlign w:val="bottom"/>
          </w:tcPr>
          <w:p w14:paraId="3C7F2AB9" w14:textId="01842D2F"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87.8%</w:t>
            </w:r>
          </w:p>
        </w:tc>
        <w:tc>
          <w:tcPr>
            <w:tcW w:w="1147" w:type="dxa"/>
            <w:tcBorders>
              <w:top w:val="single" w:sz="4" w:space="0" w:color="auto"/>
              <w:left w:val="nil"/>
              <w:bottom w:val="single" w:sz="18" w:space="0" w:color="auto"/>
              <w:right w:val="single" w:sz="8" w:space="0" w:color="auto"/>
            </w:tcBorders>
            <w:shd w:val="clear" w:color="000000" w:fill="92D050"/>
            <w:vAlign w:val="bottom"/>
          </w:tcPr>
          <w:p w14:paraId="7596CF59" w14:textId="361289F6"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96.3%</w:t>
            </w:r>
          </w:p>
        </w:tc>
        <w:tc>
          <w:tcPr>
            <w:tcW w:w="882" w:type="dxa"/>
            <w:tcBorders>
              <w:top w:val="single" w:sz="4" w:space="0" w:color="auto"/>
              <w:left w:val="nil"/>
              <w:bottom w:val="single" w:sz="18" w:space="0" w:color="auto"/>
              <w:right w:val="single" w:sz="8" w:space="0" w:color="auto"/>
            </w:tcBorders>
            <w:shd w:val="clear" w:color="000000" w:fill="FFC000"/>
            <w:vAlign w:val="bottom"/>
          </w:tcPr>
          <w:p w14:paraId="359D88DC" w14:textId="35B0A991"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91.2%</w:t>
            </w:r>
          </w:p>
        </w:tc>
        <w:tc>
          <w:tcPr>
            <w:tcW w:w="882" w:type="dxa"/>
            <w:tcBorders>
              <w:top w:val="single" w:sz="4" w:space="0" w:color="auto"/>
              <w:left w:val="nil"/>
              <w:bottom w:val="single" w:sz="18" w:space="0" w:color="auto"/>
              <w:right w:val="single" w:sz="8" w:space="0" w:color="auto"/>
            </w:tcBorders>
            <w:shd w:val="clear" w:color="000000" w:fill="FFC000"/>
            <w:vAlign w:val="bottom"/>
          </w:tcPr>
          <w:p w14:paraId="77983FC1" w14:textId="44CE9540" w:rsidR="002A7E9D" w:rsidRPr="00037267" w:rsidRDefault="002A7E9D" w:rsidP="002A7E9D">
            <w:pPr>
              <w:spacing w:after="0"/>
              <w:jc w:val="center"/>
              <w:rPr>
                <w:rFonts w:ascii="Arial" w:hAnsi="Arial" w:cs="Arial"/>
                <w:b/>
                <w:bCs/>
                <w:sz w:val="18"/>
                <w:szCs w:val="18"/>
              </w:rPr>
            </w:pPr>
            <w:r w:rsidRPr="00037267">
              <w:rPr>
                <w:rFonts w:ascii="Arial" w:hAnsi="Arial" w:cs="Arial"/>
                <w:b/>
                <w:bCs/>
                <w:sz w:val="18"/>
                <w:szCs w:val="18"/>
              </w:rPr>
              <w:t>93.4%</w:t>
            </w:r>
          </w:p>
        </w:tc>
      </w:tr>
      <w:tr w:rsidR="002A7E9D" w:rsidRPr="00037267" w14:paraId="009E3138" w14:textId="77777777" w:rsidTr="002F35EC">
        <w:trPr>
          <w:trHeight w:val="227"/>
        </w:trPr>
        <w:tc>
          <w:tcPr>
            <w:tcW w:w="1592" w:type="dxa"/>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C7CF561" w14:textId="77777777" w:rsidR="002A7E9D" w:rsidRPr="00037267" w:rsidRDefault="002A7E9D" w:rsidP="002A7E9D">
            <w:pPr>
              <w:spacing w:after="0" w:line="240" w:lineRule="auto"/>
              <w:rPr>
                <w:rFonts w:ascii="Arial" w:hAnsi="Arial" w:cs="Arial"/>
                <w:b/>
                <w:i/>
                <w:color w:val="000000"/>
                <w:sz w:val="18"/>
                <w:szCs w:val="18"/>
              </w:rPr>
            </w:pPr>
            <w:r w:rsidRPr="00037267">
              <w:rPr>
                <w:rFonts w:ascii="Arial" w:hAnsi="Arial" w:cs="Arial"/>
                <w:b/>
                <w:i/>
                <w:color w:val="000000"/>
                <w:sz w:val="18"/>
                <w:szCs w:val="18"/>
              </w:rPr>
              <w:t xml:space="preserve">CHAWS Total </w:t>
            </w:r>
          </w:p>
        </w:tc>
        <w:tc>
          <w:tcPr>
            <w:tcW w:w="1667" w:type="dxa"/>
            <w:tcBorders>
              <w:top w:val="single" w:sz="18" w:space="0" w:color="auto"/>
              <w:left w:val="nil"/>
              <w:bottom w:val="single" w:sz="18" w:space="0" w:color="auto"/>
              <w:right w:val="single" w:sz="8" w:space="0" w:color="auto"/>
            </w:tcBorders>
            <w:shd w:val="clear" w:color="000000" w:fill="FFC000"/>
            <w:vAlign w:val="bottom"/>
          </w:tcPr>
          <w:p w14:paraId="60DE845F" w14:textId="7E987259"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94.1%</w:t>
            </w:r>
          </w:p>
        </w:tc>
        <w:tc>
          <w:tcPr>
            <w:tcW w:w="941" w:type="dxa"/>
            <w:tcBorders>
              <w:top w:val="single" w:sz="18" w:space="0" w:color="auto"/>
              <w:left w:val="nil"/>
              <w:bottom w:val="single" w:sz="18" w:space="0" w:color="auto"/>
              <w:right w:val="single" w:sz="8" w:space="0" w:color="auto"/>
            </w:tcBorders>
            <w:shd w:val="clear" w:color="000000" w:fill="FFC000"/>
            <w:vAlign w:val="bottom"/>
          </w:tcPr>
          <w:p w14:paraId="53890D59" w14:textId="5C521984"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89.8%</w:t>
            </w:r>
          </w:p>
        </w:tc>
        <w:tc>
          <w:tcPr>
            <w:tcW w:w="1667" w:type="dxa"/>
            <w:tcBorders>
              <w:top w:val="single" w:sz="18" w:space="0" w:color="auto"/>
              <w:left w:val="nil"/>
              <w:bottom w:val="single" w:sz="18" w:space="0" w:color="auto"/>
              <w:right w:val="single" w:sz="8" w:space="0" w:color="auto"/>
            </w:tcBorders>
            <w:shd w:val="clear" w:color="000000" w:fill="92D050"/>
            <w:vAlign w:val="bottom"/>
          </w:tcPr>
          <w:p w14:paraId="4BD1EB32" w14:textId="0ED0702B"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95.9%</w:t>
            </w:r>
          </w:p>
        </w:tc>
        <w:tc>
          <w:tcPr>
            <w:tcW w:w="941" w:type="dxa"/>
            <w:tcBorders>
              <w:top w:val="single" w:sz="18" w:space="0" w:color="auto"/>
              <w:left w:val="nil"/>
              <w:bottom w:val="single" w:sz="18" w:space="0" w:color="auto"/>
              <w:right w:val="single" w:sz="8" w:space="0" w:color="auto"/>
            </w:tcBorders>
            <w:shd w:val="clear" w:color="000000" w:fill="FFC000"/>
            <w:vAlign w:val="bottom"/>
          </w:tcPr>
          <w:p w14:paraId="4F38AB2A" w14:textId="608CA734"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86.5%</w:t>
            </w:r>
          </w:p>
        </w:tc>
        <w:tc>
          <w:tcPr>
            <w:tcW w:w="1147" w:type="dxa"/>
            <w:tcBorders>
              <w:top w:val="single" w:sz="18" w:space="0" w:color="auto"/>
              <w:left w:val="nil"/>
              <w:bottom w:val="single" w:sz="18" w:space="0" w:color="auto"/>
              <w:right w:val="single" w:sz="8" w:space="0" w:color="auto"/>
            </w:tcBorders>
            <w:shd w:val="clear" w:color="000000" w:fill="FFC000"/>
            <w:vAlign w:val="bottom"/>
          </w:tcPr>
          <w:p w14:paraId="4C0B4778" w14:textId="4474DFAB"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94.9%</w:t>
            </w:r>
          </w:p>
        </w:tc>
        <w:tc>
          <w:tcPr>
            <w:tcW w:w="882" w:type="dxa"/>
            <w:tcBorders>
              <w:top w:val="single" w:sz="18" w:space="0" w:color="auto"/>
              <w:left w:val="nil"/>
              <w:bottom w:val="single" w:sz="18" w:space="0" w:color="auto"/>
              <w:right w:val="single" w:sz="8" w:space="0" w:color="auto"/>
            </w:tcBorders>
            <w:shd w:val="clear" w:color="000000" w:fill="FFC000"/>
            <w:vAlign w:val="bottom"/>
          </w:tcPr>
          <w:p w14:paraId="67C19EEF" w14:textId="1964E593"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88.2%</w:t>
            </w:r>
          </w:p>
        </w:tc>
        <w:tc>
          <w:tcPr>
            <w:tcW w:w="882" w:type="dxa"/>
            <w:tcBorders>
              <w:top w:val="single" w:sz="18" w:space="0" w:color="auto"/>
              <w:left w:val="nil"/>
              <w:bottom w:val="single" w:sz="18" w:space="0" w:color="auto"/>
              <w:right w:val="single" w:sz="8" w:space="0" w:color="auto"/>
            </w:tcBorders>
            <w:shd w:val="clear" w:color="000000" w:fill="FFC000"/>
            <w:vAlign w:val="bottom"/>
          </w:tcPr>
          <w:p w14:paraId="09FB1696" w14:textId="6796DE10" w:rsidR="002A7E9D" w:rsidRPr="00037267" w:rsidRDefault="002A7E9D" w:rsidP="002A7E9D">
            <w:pPr>
              <w:spacing w:after="0"/>
              <w:jc w:val="center"/>
              <w:rPr>
                <w:rFonts w:ascii="Arial" w:hAnsi="Arial" w:cs="Arial"/>
                <w:b/>
                <w:bCs/>
                <w:i/>
                <w:iCs/>
                <w:sz w:val="18"/>
                <w:szCs w:val="18"/>
              </w:rPr>
            </w:pPr>
            <w:r w:rsidRPr="00037267">
              <w:rPr>
                <w:rFonts w:ascii="Arial" w:hAnsi="Arial" w:cs="Arial"/>
                <w:b/>
                <w:bCs/>
                <w:sz w:val="18"/>
                <w:szCs w:val="18"/>
              </w:rPr>
              <w:t>92.9%</w:t>
            </w:r>
          </w:p>
        </w:tc>
      </w:tr>
      <w:tr w:rsidR="002A7E9D" w:rsidRPr="00037267" w14:paraId="589DCDAE" w14:textId="77777777" w:rsidTr="002F35EC">
        <w:trPr>
          <w:trHeight w:val="227"/>
        </w:trPr>
        <w:tc>
          <w:tcPr>
            <w:tcW w:w="1592" w:type="dxa"/>
            <w:tcBorders>
              <w:top w:val="single" w:sz="18" w:space="0" w:color="auto"/>
              <w:left w:val="single" w:sz="8" w:space="0" w:color="auto"/>
              <w:bottom w:val="single" w:sz="8" w:space="0" w:color="auto"/>
              <w:right w:val="single" w:sz="8" w:space="0" w:color="auto"/>
            </w:tcBorders>
            <w:shd w:val="clear" w:color="auto" w:fill="BDD6EE" w:themeFill="accent5" w:themeFillTint="66"/>
            <w:vAlign w:val="center"/>
          </w:tcPr>
          <w:p w14:paraId="4FD2D1B6" w14:textId="77777777" w:rsidR="002A7E9D" w:rsidRPr="00037267" w:rsidRDefault="002A7E9D" w:rsidP="002A7E9D">
            <w:pPr>
              <w:spacing w:after="0" w:line="240" w:lineRule="auto"/>
              <w:rPr>
                <w:rFonts w:ascii="Arial" w:hAnsi="Arial" w:cs="Arial"/>
                <w:b/>
                <w:i/>
                <w:color w:val="000000"/>
                <w:sz w:val="18"/>
                <w:szCs w:val="18"/>
              </w:rPr>
            </w:pPr>
            <w:r w:rsidRPr="00037267">
              <w:rPr>
                <w:rFonts w:ascii="Arial" w:hAnsi="Arial" w:cs="Arial"/>
                <w:b/>
                <w:i/>
                <w:color w:val="000000"/>
                <w:sz w:val="18"/>
                <w:szCs w:val="18"/>
              </w:rPr>
              <w:t>Total</w:t>
            </w:r>
          </w:p>
        </w:tc>
        <w:tc>
          <w:tcPr>
            <w:tcW w:w="1667" w:type="dxa"/>
            <w:tcBorders>
              <w:top w:val="single" w:sz="4" w:space="0" w:color="auto"/>
              <w:left w:val="nil"/>
              <w:bottom w:val="single" w:sz="4" w:space="0" w:color="auto"/>
              <w:right w:val="single" w:sz="8" w:space="0" w:color="auto"/>
            </w:tcBorders>
            <w:shd w:val="clear" w:color="000000" w:fill="92D050"/>
            <w:vAlign w:val="bottom"/>
          </w:tcPr>
          <w:p w14:paraId="65C41EF0" w14:textId="0A21E084" w:rsidR="002A7E9D" w:rsidRPr="00037267" w:rsidRDefault="002A7E9D" w:rsidP="002A7E9D">
            <w:pPr>
              <w:spacing w:after="0" w:line="240" w:lineRule="auto"/>
              <w:jc w:val="center"/>
              <w:rPr>
                <w:rFonts w:ascii="Arial" w:hAnsi="Arial" w:cs="Arial"/>
                <w:b/>
                <w:bCs/>
                <w:i/>
                <w:sz w:val="18"/>
                <w:szCs w:val="18"/>
              </w:rPr>
            </w:pPr>
            <w:r w:rsidRPr="00037267">
              <w:rPr>
                <w:rFonts w:ascii="Arial" w:hAnsi="Arial" w:cs="Arial"/>
                <w:b/>
                <w:bCs/>
                <w:sz w:val="18"/>
                <w:szCs w:val="18"/>
              </w:rPr>
              <w:t>95.9%</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FE3D11A" w14:textId="60586ECB"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111.0%</w:t>
            </w:r>
          </w:p>
        </w:tc>
        <w:tc>
          <w:tcPr>
            <w:tcW w:w="1667" w:type="dxa"/>
            <w:tcBorders>
              <w:top w:val="single" w:sz="4" w:space="0" w:color="auto"/>
              <w:left w:val="nil"/>
              <w:bottom w:val="single" w:sz="4" w:space="0" w:color="auto"/>
              <w:right w:val="single" w:sz="8" w:space="0" w:color="auto"/>
            </w:tcBorders>
            <w:shd w:val="clear" w:color="000000" w:fill="00B0F0"/>
            <w:vAlign w:val="bottom"/>
          </w:tcPr>
          <w:p w14:paraId="51D9AC35" w14:textId="6994FA71"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103.0%</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6B05E53" w14:textId="4DE3D8D4"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134.8%</w:t>
            </w:r>
          </w:p>
        </w:tc>
        <w:tc>
          <w:tcPr>
            <w:tcW w:w="1147" w:type="dxa"/>
            <w:tcBorders>
              <w:top w:val="single" w:sz="4" w:space="0" w:color="auto"/>
              <w:left w:val="nil"/>
              <w:bottom w:val="single" w:sz="4" w:space="0" w:color="auto"/>
              <w:right w:val="single" w:sz="8" w:space="0" w:color="auto"/>
            </w:tcBorders>
            <w:shd w:val="clear" w:color="000000" w:fill="92D050"/>
            <w:vAlign w:val="bottom"/>
          </w:tcPr>
          <w:p w14:paraId="571F4D4C" w14:textId="228C6634"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99.0%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66E550D2" w14:textId="60E14041"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121.9%</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065A7DEE" w14:textId="6C6D7111" w:rsidR="002A7E9D" w:rsidRPr="00037267" w:rsidRDefault="002A7E9D" w:rsidP="002A7E9D">
            <w:pPr>
              <w:spacing w:after="0"/>
              <w:jc w:val="center"/>
              <w:rPr>
                <w:rFonts w:ascii="Arial" w:hAnsi="Arial" w:cs="Arial"/>
                <w:b/>
                <w:bCs/>
                <w:i/>
                <w:sz w:val="18"/>
                <w:szCs w:val="18"/>
              </w:rPr>
            </w:pPr>
            <w:r w:rsidRPr="00037267">
              <w:rPr>
                <w:rFonts w:ascii="Arial" w:hAnsi="Arial" w:cs="Arial"/>
                <w:b/>
                <w:bCs/>
                <w:sz w:val="18"/>
                <w:szCs w:val="18"/>
              </w:rPr>
              <w:t>106.5%</w:t>
            </w:r>
          </w:p>
        </w:tc>
      </w:tr>
    </w:tbl>
    <w:bookmarkEnd w:id="10"/>
    <w:p w14:paraId="2DC13E68" w14:textId="77777777" w:rsidR="002F35EC" w:rsidRDefault="002F35EC" w:rsidP="002F35EC">
      <w:pPr>
        <w:spacing w:before="240" w:line="240" w:lineRule="auto"/>
        <w:jc w:val="both"/>
        <w:rPr>
          <w:rFonts w:ascii="Arial" w:hAnsi="Arial" w:cs="Arial"/>
          <w:b/>
          <w:color w:val="005EB8"/>
        </w:rPr>
      </w:pPr>
      <w:r w:rsidRPr="003A3F4D">
        <w:rPr>
          <w:rFonts w:ascii="Arial" w:hAnsi="Arial" w:cs="Arial"/>
          <w:b/>
          <w:color w:val="005EB8"/>
        </w:rPr>
        <w:t>Trust wide</w:t>
      </w:r>
      <w:r>
        <w:rPr>
          <w:rFonts w:ascii="Arial" w:hAnsi="Arial" w:cs="Arial"/>
          <w:b/>
          <w:color w:val="005EB8"/>
        </w:rPr>
        <w:t>:</w:t>
      </w:r>
    </w:p>
    <w:p w14:paraId="6983E2A9" w14:textId="77777777" w:rsidR="002F35EC" w:rsidRPr="007848FA" w:rsidRDefault="002F35EC" w:rsidP="002F35EC">
      <w:pPr>
        <w:pStyle w:val="ListParagraph"/>
        <w:numPr>
          <w:ilvl w:val="0"/>
          <w:numId w:val="21"/>
        </w:numPr>
        <w:spacing w:before="240" w:line="240" w:lineRule="auto"/>
        <w:jc w:val="both"/>
        <w:rPr>
          <w:rFonts w:ascii="Arial" w:hAnsi="Arial" w:cs="Arial"/>
          <w:b/>
          <w:color w:val="005EB8"/>
        </w:rPr>
      </w:pPr>
      <w:r w:rsidRPr="007848FA">
        <w:rPr>
          <w:rFonts w:ascii="Arial" w:eastAsia="Times New Roman" w:hAnsi="Arial" w:cs="Arial"/>
          <w:lang w:eastAsia="en-GB"/>
        </w:rPr>
        <w:t>Recruitment continues to be positive, with 31 offers made to Newly Qualified Nurses (NQNs) and 29 starters in post as of 8 December. A further recruitment event is planned for January</w:t>
      </w:r>
      <w:r>
        <w:rPr>
          <w:rFonts w:ascii="Arial" w:eastAsia="Times New Roman" w:hAnsi="Arial" w:cs="Arial"/>
          <w:lang w:eastAsia="en-GB"/>
        </w:rPr>
        <w:t xml:space="preserve"> 2026</w:t>
      </w:r>
      <w:r w:rsidRPr="007848FA">
        <w:rPr>
          <w:rFonts w:ascii="Arial" w:eastAsia="Times New Roman" w:hAnsi="Arial" w:cs="Arial"/>
          <w:lang w:eastAsia="en-GB"/>
        </w:rPr>
        <w:t>, targeting Spring graduates, including five internal apprentices.</w:t>
      </w:r>
    </w:p>
    <w:p w14:paraId="039B6728" w14:textId="77777777" w:rsidR="002F35EC" w:rsidRPr="007848FA" w:rsidRDefault="002F35EC" w:rsidP="002F35EC">
      <w:pPr>
        <w:pStyle w:val="ListParagraph"/>
        <w:numPr>
          <w:ilvl w:val="0"/>
          <w:numId w:val="21"/>
        </w:numPr>
        <w:spacing w:before="240" w:line="240" w:lineRule="auto"/>
        <w:jc w:val="both"/>
        <w:rPr>
          <w:rFonts w:ascii="Arial" w:hAnsi="Arial" w:cs="Arial"/>
          <w:b/>
          <w:color w:val="005EB8"/>
        </w:rPr>
      </w:pPr>
      <w:r w:rsidRPr="007848FA">
        <w:rPr>
          <w:rFonts w:ascii="Arial" w:eastAsia="Times New Roman" w:hAnsi="Arial" w:cs="Arial"/>
          <w:lang w:eastAsia="en-GB"/>
        </w:rPr>
        <w:t xml:space="preserve">The end-of-year establishment review covering adult and paediatric inpatient wards, assessment units and the Emergency Department concluded on 14 November </w:t>
      </w:r>
      <w:r>
        <w:rPr>
          <w:rFonts w:ascii="Arial" w:eastAsia="Times New Roman" w:hAnsi="Arial" w:cs="Arial"/>
          <w:lang w:eastAsia="en-GB"/>
        </w:rPr>
        <w:t xml:space="preserve">2025 </w:t>
      </w:r>
      <w:r w:rsidRPr="007848FA">
        <w:rPr>
          <w:rFonts w:ascii="Arial" w:eastAsia="Times New Roman" w:hAnsi="Arial" w:cs="Arial"/>
          <w:lang w:eastAsia="en-GB"/>
        </w:rPr>
        <w:t>and is scheduled for Board approval in February</w:t>
      </w:r>
      <w:r>
        <w:rPr>
          <w:rFonts w:ascii="Arial" w:eastAsia="Times New Roman" w:hAnsi="Arial" w:cs="Arial"/>
          <w:lang w:eastAsia="en-GB"/>
        </w:rPr>
        <w:t xml:space="preserve"> 2026</w:t>
      </w:r>
      <w:r w:rsidRPr="007848FA">
        <w:rPr>
          <w:rFonts w:ascii="Arial" w:eastAsia="Times New Roman" w:hAnsi="Arial" w:cs="Arial"/>
          <w:lang w:eastAsia="en-GB"/>
        </w:rPr>
        <w:t>. This review will inform future roster templates and is intended to address acuity-driven pressures, including those identified through CHPPD benchmarking and enhanced care demand.</w:t>
      </w:r>
    </w:p>
    <w:p w14:paraId="7BD1235F" w14:textId="77777777" w:rsidR="002F35EC" w:rsidRPr="00355A93" w:rsidRDefault="002F35EC" w:rsidP="002F35EC">
      <w:pPr>
        <w:spacing w:before="240" w:line="240" w:lineRule="auto"/>
        <w:jc w:val="both"/>
        <w:rPr>
          <w:rFonts w:ascii="Arial" w:hAnsi="Arial" w:cs="Arial"/>
        </w:rPr>
      </w:pPr>
      <w:r w:rsidRPr="003A3F4D">
        <w:rPr>
          <w:rFonts w:ascii="Arial" w:hAnsi="Arial" w:cs="Arial"/>
          <w:b/>
          <w:color w:val="005EB8"/>
        </w:rPr>
        <w:t>John Snow War</w:t>
      </w:r>
      <w:r>
        <w:rPr>
          <w:rFonts w:ascii="Arial" w:hAnsi="Arial" w:cs="Arial"/>
          <w:b/>
          <w:color w:val="005EB8"/>
        </w:rPr>
        <w:t xml:space="preserve">d - </w:t>
      </w:r>
      <w:r w:rsidRPr="00355A93">
        <w:rPr>
          <w:rFonts w:ascii="Arial" w:hAnsi="Arial" w:cs="Arial"/>
        </w:rPr>
        <w:t xml:space="preserve">Healthcare Support Worker (HCSW) shifts were consistently delivered at approximately 1 WTE below the agreed template. This reflected </w:t>
      </w:r>
      <w:r w:rsidRPr="00355A93">
        <w:rPr>
          <w:rStyle w:val="Strong"/>
          <w:rFonts w:ascii="Arial" w:hAnsi="Arial" w:cs="Arial"/>
          <w:b w:val="0"/>
          <w:bCs w:val="0"/>
        </w:rPr>
        <w:t xml:space="preserve">informed decision-making based </w:t>
      </w:r>
      <w:r w:rsidRPr="00355A93">
        <w:rPr>
          <w:rStyle w:val="Strong"/>
          <w:rFonts w:ascii="Arial" w:hAnsi="Arial" w:cs="Arial"/>
          <w:b w:val="0"/>
          <w:bCs w:val="0"/>
        </w:rPr>
        <w:lastRenderedPageBreak/>
        <w:t>on real-time assessment of patient capacity and acuity</w:t>
      </w:r>
      <w:r w:rsidRPr="00355A93">
        <w:rPr>
          <w:rFonts w:ascii="Arial" w:hAnsi="Arial" w:cs="Arial"/>
        </w:rPr>
        <w:t>, with redeployment agreed through daily safety huddles to ensure staffing remained safe and appropriate to clinical need. The position was formally reviewed and captured as part of the September SNCT submission.</w:t>
      </w:r>
    </w:p>
    <w:p w14:paraId="2146FC68" w14:textId="77777777" w:rsidR="002F35EC" w:rsidRPr="007848FA" w:rsidRDefault="002F35EC" w:rsidP="002F35EC">
      <w:pPr>
        <w:pStyle w:val="NormalWeb"/>
        <w:rPr>
          <w:rFonts w:ascii="Arial" w:eastAsia="Times New Roman" w:hAnsi="Arial" w:cs="Arial"/>
          <w:b/>
          <w:bCs/>
          <w:sz w:val="22"/>
          <w:szCs w:val="22"/>
          <w:lang w:eastAsia="en-GB"/>
        </w:rPr>
      </w:pPr>
      <w:r w:rsidRPr="003F7571">
        <w:rPr>
          <w:rFonts w:ascii="Arial" w:hAnsi="Arial" w:cs="Arial"/>
          <w:b/>
          <w:bCs/>
          <w:color w:val="005EB8"/>
        </w:rPr>
        <w:t>Maternit</w:t>
      </w:r>
      <w:r>
        <w:rPr>
          <w:rFonts w:ascii="Arial" w:hAnsi="Arial" w:cs="Arial"/>
          <w:b/>
          <w:bCs/>
          <w:color w:val="005EB8"/>
        </w:rPr>
        <w:t xml:space="preserve">y - </w:t>
      </w:r>
      <w:r w:rsidRPr="007848FA">
        <w:rPr>
          <w:rFonts w:ascii="Arial" w:eastAsia="Times New Roman" w:hAnsi="Arial" w:cs="Arial"/>
          <w:sz w:val="22"/>
          <w:szCs w:val="22"/>
          <w:lang w:eastAsia="en-GB"/>
        </w:rPr>
        <w:t>Fill rates for registered and unregistered staff remain amber across most areas, driven by vacancies, sickness absence and high levels of maternity leave. Twice-weekly staffing reviews and deployment in line with Birthrate Plus continue to maintain safety, supported by matrons and specialist midwives. A Birthrate Plus workforce review is currently underway, with recommendations expected in the New Year, which will inform longer-term workforce planning and resilience.</w:t>
      </w:r>
    </w:p>
    <w:p w14:paraId="3B4DF63A" w14:textId="77777777" w:rsidR="002F35EC" w:rsidRPr="007848FA" w:rsidRDefault="002F35EC" w:rsidP="002F35EC">
      <w:pPr>
        <w:pStyle w:val="NormalWeb"/>
        <w:rPr>
          <w:rFonts w:ascii="Arial" w:eastAsia="Times New Roman" w:hAnsi="Arial" w:cs="Arial"/>
          <w:sz w:val="22"/>
          <w:szCs w:val="22"/>
          <w:lang w:eastAsia="en-GB"/>
        </w:rPr>
      </w:pPr>
      <w:r w:rsidRPr="00E44878">
        <w:rPr>
          <w:rFonts w:ascii="Arial" w:eastAsia="Times New Roman" w:hAnsi="Arial" w:cs="Arial"/>
          <w:b/>
          <w:color w:val="005EB8"/>
          <w:lang w:eastAsia="en-GB"/>
        </w:rPr>
        <w:t>Emergency Departments</w:t>
      </w:r>
      <w:r>
        <w:rPr>
          <w:rFonts w:ascii="Arial" w:eastAsia="Times New Roman" w:hAnsi="Arial" w:cs="Arial"/>
          <w:b/>
          <w:color w:val="005EB8"/>
          <w:lang w:eastAsia="en-GB"/>
        </w:rPr>
        <w:t xml:space="preserve"> - </w:t>
      </w:r>
      <w:r w:rsidRPr="007848FA">
        <w:rPr>
          <w:rFonts w:ascii="Arial" w:eastAsia="Times New Roman" w:hAnsi="Arial" w:cs="Arial"/>
          <w:sz w:val="22"/>
          <w:szCs w:val="22"/>
          <w:lang w:eastAsia="en-GB"/>
        </w:rPr>
        <w:t xml:space="preserve">While national safer staffing reporting excludes Emergency Departments, local staffing data for Adult and Paediatric ED is included for assurance </w:t>
      </w:r>
      <w:r w:rsidRPr="007848FA">
        <w:rPr>
          <w:rFonts w:ascii="Arial" w:eastAsia="Times New Roman" w:hAnsi="Arial" w:cs="Arial"/>
          <w:b/>
          <w:bCs/>
          <w:sz w:val="22"/>
          <w:szCs w:val="22"/>
          <w:lang w:eastAsia="en-GB"/>
        </w:rPr>
        <w:t xml:space="preserve">(Appendices 1a and 1b). </w:t>
      </w:r>
      <w:r w:rsidRPr="007848FA">
        <w:rPr>
          <w:rFonts w:ascii="Arial" w:eastAsia="Times New Roman" w:hAnsi="Arial" w:cs="Arial"/>
          <w:sz w:val="22"/>
          <w:szCs w:val="22"/>
          <w:lang w:eastAsia="en-GB"/>
        </w:rPr>
        <w:t>Registered Nurse fill rates remain strong; however, Healthcare Support Worker (HCSW) cover remains fragile, particularly within Paediatric ED, where overall fill averaged 82.3%.</w:t>
      </w:r>
    </w:p>
    <w:p w14:paraId="38EBDDBF" w14:textId="77777777" w:rsidR="002F35EC" w:rsidRPr="007848FA" w:rsidRDefault="002F35EC" w:rsidP="002F35EC">
      <w:pPr>
        <w:spacing w:before="100" w:beforeAutospacing="1" w:after="100" w:afterAutospacing="1" w:line="240" w:lineRule="auto"/>
        <w:rPr>
          <w:rFonts w:ascii="Arial" w:eastAsia="Times New Roman" w:hAnsi="Arial" w:cs="Arial"/>
          <w:lang w:eastAsia="en-GB"/>
        </w:rPr>
      </w:pPr>
      <w:r w:rsidRPr="007848FA">
        <w:rPr>
          <w:rFonts w:ascii="Arial" w:eastAsia="Times New Roman" w:hAnsi="Arial" w:cs="Arial"/>
          <w:lang w:eastAsia="en-GB"/>
        </w:rPr>
        <w:t>Shift profiling changes, including the introduction of middle and twilight shifts, commenced in November and are expected to improve workforce resilience from December onwards.</w:t>
      </w:r>
    </w:p>
    <w:p w14:paraId="798D4114" w14:textId="0ABEBF54" w:rsidR="00F57E5D" w:rsidRPr="00037267" w:rsidRDefault="00F57E5D" w:rsidP="003F4460">
      <w:pPr>
        <w:spacing w:before="240" w:after="0" w:line="240" w:lineRule="auto"/>
        <w:rPr>
          <w:rFonts w:ascii="Arial" w:eastAsia="Times New Roman" w:hAnsi="Arial" w:cs="Arial"/>
          <w:b/>
          <w:i/>
          <w:color w:val="005EB8"/>
          <w:sz w:val="18"/>
          <w:szCs w:val="18"/>
          <w:lang w:eastAsia="en-GB"/>
        </w:rPr>
      </w:pPr>
      <w:r w:rsidRPr="00037267">
        <w:rPr>
          <w:rFonts w:ascii="Arial" w:eastAsia="Times New Roman" w:hAnsi="Arial" w:cs="Arial"/>
          <w:b/>
          <w:color w:val="005EB8"/>
          <w:lang w:eastAsia="en-GB"/>
        </w:rPr>
        <w:t xml:space="preserve">Appendix 1a: ED data and narrative: fill rates </w:t>
      </w:r>
      <w:r w:rsidR="0057060E" w:rsidRPr="00037267">
        <w:rPr>
          <w:rFonts w:ascii="Arial" w:eastAsia="Times New Roman" w:hAnsi="Arial" w:cs="Arial"/>
          <w:b/>
          <w:bCs/>
          <w:color w:val="005EB8"/>
          <w:lang w:eastAsia="en-GB"/>
        </w:rPr>
        <w:t>Novem</w:t>
      </w:r>
      <w:r w:rsidR="001E6EC4" w:rsidRPr="00037267">
        <w:rPr>
          <w:rFonts w:ascii="Arial" w:eastAsia="Times New Roman" w:hAnsi="Arial" w:cs="Arial"/>
          <w:b/>
          <w:color w:val="005EB8"/>
          <w:lang w:eastAsia="en-GB"/>
        </w:rPr>
        <w:t xml:space="preserve">ber </w:t>
      </w:r>
      <w:r w:rsidRPr="00037267">
        <w:rPr>
          <w:rFonts w:ascii="Arial" w:eastAsia="Times New Roman" w:hAnsi="Arial" w:cs="Arial"/>
          <w:b/>
          <w:color w:val="005EB8"/>
          <w:lang w:eastAsia="en-GB"/>
        </w:rPr>
        <w:t xml:space="preserve">2025 </w:t>
      </w:r>
      <w:r w:rsidRPr="00037267">
        <w:rPr>
          <w:rFonts w:ascii="Arial" w:eastAsia="Times New Roman" w:hAnsi="Arial" w:cs="Arial"/>
          <w:b/>
          <w:i/>
          <w:color w:val="005EB8"/>
          <w:sz w:val="18"/>
          <w:szCs w:val="18"/>
          <w:lang w:eastAsia="en-GB"/>
        </w:rPr>
        <w:t xml:space="preserve">(Standard Planned Demand) </w:t>
      </w:r>
    </w:p>
    <w:p w14:paraId="3B0694D3" w14:textId="77777777" w:rsidR="00D913D5" w:rsidRPr="00037267" w:rsidRDefault="00D913D5" w:rsidP="00F57E5D">
      <w:pPr>
        <w:spacing w:after="0" w:line="240" w:lineRule="auto"/>
        <w:rPr>
          <w:rFonts w:ascii="Arial" w:eastAsia="Times New Roman" w:hAnsi="Arial" w:cs="Arial"/>
          <w:b/>
          <w:i/>
          <w:color w:val="005EB8"/>
          <w:sz w:val="18"/>
          <w:szCs w:val="18"/>
          <w:lang w:eastAsia="en-GB"/>
        </w:rPr>
      </w:pP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CE2A26" w:rsidRPr="00037267" w14:paraId="24FC8984" w14:textId="77777777" w:rsidTr="007154A4">
        <w:tc>
          <w:tcPr>
            <w:tcW w:w="1555" w:type="dxa"/>
            <w:shd w:val="clear" w:color="auto" w:fill="DEEAF6" w:themeFill="accent5" w:themeFillTint="33"/>
            <w:vAlign w:val="center"/>
          </w:tcPr>
          <w:p w14:paraId="06884689" w14:textId="77777777" w:rsidR="00CE2A26" w:rsidRPr="00037267" w:rsidRDefault="00CE2A26" w:rsidP="003D6BC4">
            <w:pPr>
              <w:spacing w:after="0" w:line="240" w:lineRule="auto"/>
              <w:jc w:val="center"/>
              <w:rPr>
                <w:rFonts w:ascii="Arial" w:eastAsia="Times New Roman" w:hAnsi="Arial" w:cs="Arial"/>
                <w:b/>
                <w:sz w:val="18"/>
                <w:szCs w:val="18"/>
                <w:lang w:eastAsia="en-GB"/>
              </w:rPr>
            </w:pPr>
            <w:bookmarkStart w:id="11" w:name="_Hlk198623969"/>
            <w:r w:rsidRPr="00037267">
              <w:rPr>
                <w:rFonts w:ascii="Arial" w:eastAsia="Times New Roman" w:hAnsi="Arial" w:cs="Arial"/>
                <w:b/>
                <w:sz w:val="18"/>
                <w:szCs w:val="18"/>
                <w:lang w:eastAsia="en-GB"/>
              </w:rPr>
              <w:t>Average day fill rate - registered nurses/midwives</w:t>
            </w:r>
          </w:p>
        </w:tc>
        <w:tc>
          <w:tcPr>
            <w:tcW w:w="1157" w:type="dxa"/>
            <w:shd w:val="clear" w:color="auto" w:fill="DEEAF6" w:themeFill="accent5" w:themeFillTint="33"/>
            <w:vAlign w:val="center"/>
          </w:tcPr>
          <w:p w14:paraId="3506AE1E" w14:textId="77777777" w:rsidR="00CE2A26" w:rsidRPr="00037267" w:rsidRDefault="00CE2A26"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day fill rate - care staff</w:t>
            </w:r>
          </w:p>
        </w:tc>
        <w:tc>
          <w:tcPr>
            <w:tcW w:w="1536" w:type="dxa"/>
            <w:shd w:val="clear" w:color="auto" w:fill="9CC2E5" w:themeFill="accent5" w:themeFillTint="99"/>
            <w:vAlign w:val="center"/>
          </w:tcPr>
          <w:p w14:paraId="5C527F27" w14:textId="77777777" w:rsidR="00CE2A26" w:rsidRPr="00037267" w:rsidRDefault="00CE2A26"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night fill rate - registered nurses/midwives</w:t>
            </w:r>
          </w:p>
        </w:tc>
        <w:tc>
          <w:tcPr>
            <w:tcW w:w="1176" w:type="dxa"/>
            <w:shd w:val="clear" w:color="auto" w:fill="9CC2E5" w:themeFill="accent5" w:themeFillTint="99"/>
            <w:vAlign w:val="center"/>
          </w:tcPr>
          <w:p w14:paraId="63E4D53B" w14:textId="77777777" w:rsidR="00CE2A26" w:rsidRPr="00037267" w:rsidRDefault="00CE2A26"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night fill rate - care staff</w:t>
            </w:r>
          </w:p>
        </w:tc>
        <w:tc>
          <w:tcPr>
            <w:tcW w:w="1356" w:type="dxa"/>
            <w:shd w:val="clear" w:color="auto" w:fill="BDD6EE" w:themeFill="accent5" w:themeFillTint="66"/>
            <w:vAlign w:val="center"/>
          </w:tcPr>
          <w:p w14:paraId="5CD51F02" w14:textId="77777777" w:rsidR="00CE2A26" w:rsidRPr="00037267" w:rsidRDefault="00CE2A26" w:rsidP="003D6BC4">
            <w:pPr>
              <w:spacing w:after="0" w:line="240" w:lineRule="auto"/>
              <w:jc w:val="center"/>
              <w:rPr>
                <w:rFonts w:ascii="Arial" w:eastAsia="Times New Roman" w:hAnsi="Arial" w:cs="Arial"/>
                <w:b/>
                <w:bCs/>
                <w:sz w:val="18"/>
                <w:szCs w:val="18"/>
                <w:lang w:eastAsia="en-GB"/>
              </w:rPr>
            </w:pPr>
            <w:r w:rsidRPr="00037267">
              <w:rPr>
                <w:rFonts w:ascii="Arial" w:eastAsia="Times New Roman" w:hAnsi="Arial" w:cs="Arial"/>
                <w:b/>
                <w:bCs/>
                <w:sz w:val="18"/>
                <w:szCs w:val="18"/>
                <w:lang w:eastAsia="en-GB"/>
              </w:rPr>
              <w:t>% Registered overall fill rate</w:t>
            </w:r>
          </w:p>
        </w:tc>
        <w:tc>
          <w:tcPr>
            <w:tcW w:w="1356" w:type="dxa"/>
            <w:shd w:val="clear" w:color="auto" w:fill="BDD6EE" w:themeFill="accent5" w:themeFillTint="66"/>
            <w:vAlign w:val="center"/>
          </w:tcPr>
          <w:p w14:paraId="7713831D" w14:textId="77777777" w:rsidR="00CE2A26" w:rsidRPr="00037267" w:rsidRDefault="00CE2A26"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HCSW overall fill rate</w:t>
            </w:r>
          </w:p>
        </w:tc>
        <w:tc>
          <w:tcPr>
            <w:tcW w:w="1357" w:type="dxa"/>
            <w:shd w:val="clear" w:color="auto" w:fill="BDD6EE" w:themeFill="accent5" w:themeFillTint="66"/>
            <w:vAlign w:val="center"/>
          </w:tcPr>
          <w:p w14:paraId="4299E53F" w14:textId="77777777" w:rsidR="00CE2A26" w:rsidRPr="00037267" w:rsidRDefault="00CE2A26"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Overall fill rate</w:t>
            </w:r>
          </w:p>
        </w:tc>
      </w:tr>
      <w:tr w:rsidR="00B054B3" w:rsidRPr="00037267" w14:paraId="223582FC" w14:textId="77777777" w:rsidTr="00037267">
        <w:trPr>
          <w:trHeight w:val="275"/>
        </w:trPr>
        <w:tc>
          <w:tcPr>
            <w:tcW w:w="1555" w:type="dxa"/>
            <w:tcBorders>
              <w:top w:val="single" w:sz="4" w:space="0" w:color="auto"/>
              <w:left w:val="single" w:sz="8" w:space="0" w:color="auto"/>
              <w:bottom w:val="single" w:sz="4" w:space="0" w:color="auto"/>
              <w:right w:val="single" w:sz="8" w:space="0" w:color="auto"/>
            </w:tcBorders>
            <w:shd w:val="clear" w:color="000000" w:fill="00B0F0"/>
            <w:vAlign w:val="center"/>
          </w:tcPr>
          <w:p w14:paraId="07344873" w14:textId="5E2979D3"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103.5%</w:t>
            </w:r>
          </w:p>
        </w:tc>
        <w:tc>
          <w:tcPr>
            <w:tcW w:w="1157" w:type="dxa"/>
            <w:tcBorders>
              <w:top w:val="single" w:sz="4" w:space="0" w:color="auto"/>
              <w:left w:val="nil"/>
              <w:bottom w:val="single" w:sz="4" w:space="0" w:color="auto"/>
              <w:right w:val="single" w:sz="8" w:space="0" w:color="auto"/>
            </w:tcBorders>
            <w:shd w:val="clear" w:color="000000" w:fill="FFC000"/>
            <w:vAlign w:val="center"/>
          </w:tcPr>
          <w:p w14:paraId="7BCC1FCB" w14:textId="6B4F262A"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90.9%</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60EC9B8A" w14:textId="53D54AE5"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111.8%</w:t>
            </w:r>
          </w:p>
        </w:tc>
        <w:tc>
          <w:tcPr>
            <w:tcW w:w="1176" w:type="dxa"/>
            <w:tcBorders>
              <w:top w:val="single" w:sz="4" w:space="0" w:color="auto"/>
              <w:left w:val="nil"/>
              <w:bottom w:val="single" w:sz="4" w:space="0" w:color="auto"/>
              <w:right w:val="single" w:sz="8" w:space="0" w:color="auto"/>
            </w:tcBorders>
            <w:shd w:val="clear" w:color="000000" w:fill="00B0F0"/>
            <w:vAlign w:val="center"/>
          </w:tcPr>
          <w:p w14:paraId="7017F371" w14:textId="7E214141"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124.5%</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61E32EFC" w14:textId="637F5929" w:rsidR="00B054B3" w:rsidRPr="00037267" w:rsidRDefault="00B054B3" w:rsidP="00B054B3">
            <w:pPr>
              <w:spacing w:after="0" w:line="240" w:lineRule="auto"/>
              <w:jc w:val="center"/>
              <w:rPr>
                <w:rFonts w:ascii="Arial" w:eastAsia="Times New Roman" w:hAnsi="Arial" w:cs="Arial"/>
                <w:b/>
                <w:bCs/>
                <w:sz w:val="18"/>
                <w:szCs w:val="18"/>
                <w:lang w:eastAsia="en-GB"/>
              </w:rPr>
            </w:pPr>
            <w:r w:rsidRPr="00037267">
              <w:rPr>
                <w:rFonts w:ascii="Arial" w:hAnsi="Arial" w:cs="Arial"/>
                <w:b/>
                <w:bCs/>
                <w:sz w:val="18"/>
                <w:szCs w:val="18"/>
              </w:rPr>
              <w:t>107.2%</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638E59FA" w14:textId="508021EC"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105.8%</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671EC341" w14:textId="0F12A53A"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106.8%</w:t>
            </w:r>
          </w:p>
        </w:tc>
      </w:tr>
      <w:bookmarkEnd w:id="11"/>
    </w:tbl>
    <w:p w14:paraId="20FA65D7" w14:textId="77777777" w:rsidR="000016C1" w:rsidRPr="00037267" w:rsidRDefault="000016C1" w:rsidP="000016C1">
      <w:pPr>
        <w:spacing w:after="0" w:line="240" w:lineRule="auto"/>
        <w:rPr>
          <w:rFonts w:ascii="Arial" w:eastAsia="Times New Roman" w:hAnsi="Arial" w:cs="Arial"/>
          <w:lang w:eastAsia="en-GB"/>
        </w:rPr>
      </w:pPr>
    </w:p>
    <w:p w14:paraId="40CCDB80" w14:textId="14B2C7D4" w:rsidR="00D913D5" w:rsidRPr="00037267" w:rsidRDefault="00E8143F" w:rsidP="00E8143F">
      <w:pPr>
        <w:spacing w:after="0" w:line="240" w:lineRule="auto"/>
        <w:rPr>
          <w:rFonts w:ascii="Arial" w:eastAsia="Times New Roman" w:hAnsi="Arial" w:cs="Arial"/>
          <w:b/>
          <w:i/>
          <w:color w:val="005EB8"/>
          <w:sz w:val="18"/>
          <w:szCs w:val="18"/>
          <w:lang w:eastAsia="en-GB"/>
        </w:rPr>
      </w:pPr>
      <w:r w:rsidRPr="00037267">
        <w:rPr>
          <w:rFonts w:ascii="Arial" w:eastAsia="Times New Roman" w:hAnsi="Arial" w:cs="Arial"/>
          <w:b/>
          <w:color w:val="005EB8"/>
          <w:lang w:eastAsia="en-GB"/>
        </w:rPr>
        <w:t xml:space="preserve">Appendix 1b: Paediatric ED data and narrative: fill rates </w:t>
      </w:r>
      <w:r w:rsidR="0057060E" w:rsidRPr="00037267">
        <w:rPr>
          <w:rFonts w:ascii="Arial" w:eastAsia="Times New Roman" w:hAnsi="Arial" w:cs="Arial"/>
          <w:b/>
          <w:bCs/>
          <w:color w:val="005EB8"/>
          <w:lang w:eastAsia="en-GB"/>
        </w:rPr>
        <w:t>Novem</w:t>
      </w:r>
      <w:r w:rsidR="001E6EC4" w:rsidRPr="00037267">
        <w:rPr>
          <w:rFonts w:ascii="Arial" w:eastAsia="Times New Roman" w:hAnsi="Arial" w:cs="Arial"/>
          <w:b/>
          <w:color w:val="005EB8"/>
          <w:lang w:eastAsia="en-GB"/>
        </w:rPr>
        <w:t xml:space="preserve">ber </w:t>
      </w:r>
      <w:r w:rsidRPr="00037267">
        <w:rPr>
          <w:rFonts w:ascii="Arial" w:eastAsia="Times New Roman" w:hAnsi="Arial" w:cs="Arial"/>
          <w:b/>
          <w:color w:val="005EB8"/>
          <w:lang w:eastAsia="en-GB"/>
        </w:rPr>
        <w:t xml:space="preserve">2025 </w:t>
      </w:r>
      <w:r w:rsidRPr="00037267">
        <w:rPr>
          <w:rFonts w:ascii="Arial" w:eastAsia="Times New Roman" w:hAnsi="Arial" w:cs="Arial"/>
          <w:b/>
          <w:i/>
          <w:color w:val="005EB8"/>
          <w:sz w:val="18"/>
          <w:szCs w:val="18"/>
          <w:lang w:eastAsia="en-GB"/>
        </w:rPr>
        <w:t>(Standard Planned Demand)</w:t>
      </w:r>
    </w:p>
    <w:p w14:paraId="0E0D8A61" w14:textId="77777777" w:rsidR="00E8143F" w:rsidRPr="00037267" w:rsidRDefault="00E8143F" w:rsidP="00E8143F">
      <w:pPr>
        <w:spacing w:after="0" w:line="240" w:lineRule="auto"/>
        <w:rPr>
          <w:rFonts w:ascii="Arial" w:eastAsia="Times New Roman" w:hAnsi="Arial" w:cs="Arial"/>
          <w:b/>
          <w:i/>
          <w:color w:val="005EB8"/>
          <w:sz w:val="18"/>
          <w:szCs w:val="18"/>
          <w:lang w:eastAsia="en-GB"/>
        </w:rPr>
      </w:pPr>
      <w:r w:rsidRPr="00037267">
        <w:rPr>
          <w:rFonts w:ascii="Arial" w:eastAsia="Times New Roman" w:hAnsi="Arial" w:cs="Arial"/>
          <w:b/>
          <w:i/>
          <w:color w:val="005EB8"/>
          <w:sz w:val="18"/>
          <w:szCs w:val="18"/>
          <w:lang w:eastAsia="en-GB"/>
        </w:rPr>
        <w:t xml:space="preserve"> </w:t>
      </w:r>
    </w:p>
    <w:tbl>
      <w:tblPr>
        <w:tblStyle w:val="TableGrid"/>
        <w:tblW w:w="94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E8143F" w:rsidRPr="00037267" w14:paraId="7260E67B" w14:textId="77777777" w:rsidTr="007154A4">
        <w:tc>
          <w:tcPr>
            <w:tcW w:w="1555" w:type="dxa"/>
            <w:shd w:val="clear" w:color="auto" w:fill="DEEAF6" w:themeFill="accent5" w:themeFillTint="33"/>
            <w:vAlign w:val="center"/>
          </w:tcPr>
          <w:p w14:paraId="38826CA7" w14:textId="77777777" w:rsidR="00E8143F" w:rsidRPr="00037267" w:rsidRDefault="00E8143F" w:rsidP="003D6BC4">
            <w:pPr>
              <w:spacing w:after="0" w:line="240" w:lineRule="auto"/>
              <w:jc w:val="center"/>
              <w:rPr>
                <w:rFonts w:ascii="Arial" w:eastAsia="Times New Roman" w:hAnsi="Arial" w:cs="Arial"/>
                <w:b/>
                <w:sz w:val="18"/>
                <w:szCs w:val="18"/>
                <w:lang w:eastAsia="en-GB"/>
              </w:rPr>
            </w:pPr>
            <w:bookmarkStart w:id="12" w:name="_Hlk198624115"/>
            <w:r w:rsidRPr="00037267">
              <w:rPr>
                <w:rFonts w:ascii="Arial" w:eastAsia="Times New Roman" w:hAnsi="Arial" w:cs="Arial"/>
                <w:b/>
                <w:sz w:val="18"/>
                <w:szCs w:val="18"/>
                <w:lang w:eastAsia="en-GB"/>
              </w:rPr>
              <w:t>Average day fill rate - registered nurses/midwives</w:t>
            </w:r>
          </w:p>
        </w:tc>
        <w:tc>
          <w:tcPr>
            <w:tcW w:w="1157" w:type="dxa"/>
            <w:shd w:val="clear" w:color="auto" w:fill="DEEAF6" w:themeFill="accent5" w:themeFillTint="33"/>
            <w:vAlign w:val="center"/>
          </w:tcPr>
          <w:p w14:paraId="7E8F0C18" w14:textId="77777777" w:rsidR="00E8143F" w:rsidRPr="00037267" w:rsidRDefault="00E8143F"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day fill rate - care staff</w:t>
            </w:r>
          </w:p>
        </w:tc>
        <w:tc>
          <w:tcPr>
            <w:tcW w:w="1536" w:type="dxa"/>
            <w:shd w:val="clear" w:color="auto" w:fill="9CC2E5" w:themeFill="accent5" w:themeFillTint="99"/>
            <w:vAlign w:val="center"/>
          </w:tcPr>
          <w:p w14:paraId="50CFF538" w14:textId="77777777" w:rsidR="00E8143F" w:rsidRPr="00037267" w:rsidRDefault="00E8143F"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night fill rate - registered nurses/midwives</w:t>
            </w:r>
          </w:p>
        </w:tc>
        <w:tc>
          <w:tcPr>
            <w:tcW w:w="1176" w:type="dxa"/>
            <w:shd w:val="clear" w:color="auto" w:fill="9CC2E5" w:themeFill="accent5" w:themeFillTint="99"/>
            <w:vAlign w:val="center"/>
          </w:tcPr>
          <w:p w14:paraId="54FF52F6" w14:textId="77777777" w:rsidR="00E8143F" w:rsidRPr="00037267" w:rsidRDefault="00E8143F"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Average night fill rate - care staff</w:t>
            </w:r>
          </w:p>
        </w:tc>
        <w:tc>
          <w:tcPr>
            <w:tcW w:w="1356" w:type="dxa"/>
            <w:shd w:val="clear" w:color="auto" w:fill="BDD6EE" w:themeFill="accent5" w:themeFillTint="66"/>
            <w:vAlign w:val="center"/>
          </w:tcPr>
          <w:p w14:paraId="621E9D9A" w14:textId="77777777" w:rsidR="00E8143F" w:rsidRPr="00037267" w:rsidRDefault="00E8143F" w:rsidP="003D6BC4">
            <w:pPr>
              <w:spacing w:after="0" w:line="240" w:lineRule="auto"/>
              <w:jc w:val="center"/>
              <w:rPr>
                <w:rFonts w:ascii="Arial" w:eastAsia="Times New Roman" w:hAnsi="Arial" w:cs="Arial"/>
                <w:b/>
                <w:bCs/>
                <w:sz w:val="18"/>
                <w:szCs w:val="18"/>
                <w:lang w:eastAsia="en-GB"/>
              </w:rPr>
            </w:pPr>
            <w:r w:rsidRPr="00037267">
              <w:rPr>
                <w:rFonts w:ascii="Arial" w:eastAsia="Times New Roman" w:hAnsi="Arial" w:cs="Arial"/>
                <w:b/>
                <w:bCs/>
                <w:sz w:val="18"/>
                <w:szCs w:val="18"/>
                <w:lang w:eastAsia="en-GB"/>
              </w:rPr>
              <w:t>% Registered overall fill rate</w:t>
            </w:r>
          </w:p>
        </w:tc>
        <w:tc>
          <w:tcPr>
            <w:tcW w:w="1356" w:type="dxa"/>
            <w:shd w:val="clear" w:color="auto" w:fill="BDD6EE" w:themeFill="accent5" w:themeFillTint="66"/>
            <w:vAlign w:val="center"/>
          </w:tcPr>
          <w:p w14:paraId="4B910EE9" w14:textId="77777777" w:rsidR="00E8143F" w:rsidRPr="00037267" w:rsidRDefault="00E8143F"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HCSW overall fill rate</w:t>
            </w:r>
          </w:p>
        </w:tc>
        <w:tc>
          <w:tcPr>
            <w:tcW w:w="1357" w:type="dxa"/>
            <w:shd w:val="clear" w:color="auto" w:fill="BDD6EE" w:themeFill="accent5" w:themeFillTint="66"/>
            <w:vAlign w:val="center"/>
          </w:tcPr>
          <w:p w14:paraId="16F5E50D" w14:textId="77777777" w:rsidR="00E8143F" w:rsidRPr="00037267" w:rsidRDefault="00E8143F" w:rsidP="003D6BC4">
            <w:pPr>
              <w:spacing w:after="0" w:line="240" w:lineRule="auto"/>
              <w:jc w:val="center"/>
              <w:rPr>
                <w:rFonts w:ascii="Arial" w:eastAsia="Times New Roman" w:hAnsi="Arial" w:cs="Arial"/>
                <w:b/>
                <w:sz w:val="18"/>
                <w:szCs w:val="18"/>
                <w:lang w:eastAsia="en-GB"/>
              </w:rPr>
            </w:pPr>
            <w:r w:rsidRPr="00037267">
              <w:rPr>
                <w:rFonts w:ascii="Arial" w:eastAsia="Times New Roman" w:hAnsi="Arial" w:cs="Arial"/>
                <w:b/>
                <w:sz w:val="18"/>
                <w:szCs w:val="18"/>
                <w:lang w:eastAsia="en-GB"/>
              </w:rPr>
              <w:t>% Overall fill rate</w:t>
            </w:r>
          </w:p>
        </w:tc>
      </w:tr>
      <w:tr w:rsidR="00B054B3" w:rsidRPr="00037267" w14:paraId="7070C290" w14:textId="77777777" w:rsidTr="00037267">
        <w:trPr>
          <w:trHeight w:val="264"/>
        </w:trPr>
        <w:tc>
          <w:tcPr>
            <w:tcW w:w="1555" w:type="dxa"/>
            <w:tcBorders>
              <w:top w:val="single" w:sz="4" w:space="0" w:color="auto"/>
              <w:left w:val="single" w:sz="8" w:space="0" w:color="auto"/>
              <w:bottom w:val="single" w:sz="4" w:space="0" w:color="auto"/>
              <w:right w:val="single" w:sz="8" w:space="0" w:color="auto"/>
            </w:tcBorders>
            <w:shd w:val="clear" w:color="000000" w:fill="00B0F0"/>
            <w:vAlign w:val="center"/>
          </w:tcPr>
          <w:p w14:paraId="0A76F6D2" w14:textId="0F910B14"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112.5%</w:t>
            </w:r>
          </w:p>
        </w:tc>
        <w:tc>
          <w:tcPr>
            <w:tcW w:w="1157" w:type="dxa"/>
            <w:tcBorders>
              <w:top w:val="single" w:sz="4" w:space="0" w:color="auto"/>
              <w:left w:val="nil"/>
              <w:bottom w:val="single" w:sz="4" w:space="0" w:color="auto"/>
              <w:right w:val="single" w:sz="8" w:space="0" w:color="auto"/>
            </w:tcBorders>
            <w:shd w:val="clear" w:color="000000" w:fill="FFC000"/>
            <w:vAlign w:val="center"/>
          </w:tcPr>
          <w:p w14:paraId="10E78CC4" w14:textId="49C1FB3E"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78.1%</w:t>
            </w:r>
          </w:p>
        </w:tc>
        <w:tc>
          <w:tcPr>
            <w:tcW w:w="1536" w:type="dxa"/>
            <w:tcBorders>
              <w:top w:val="single" w:sz="4" w:space="0" w:color="auto"/>
              <w:left w:val="nil"/>
              <w:bottom w:val="single" w:sz="4" w:space="0" w:color="auto"/>
              <w:right w:val="single" w:sz="8" w:space="0" w:color="auto"/>
            </w:tcBorders>
            <w:shd w:val="clear" w:color="000000" w:fill="00B0F0"/>
            <w:vAlign w:val="center"/>
          </w:tcPr>
          <w:p w14:paraId="1E0FF0B4" w14:textId="222610EC"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135.5%</w:t>
            </w:r>
          </w:p>
        </w:tc>
        <w:tc>
          <w:tcPr>
            <w:tcW w:w="1176" w:type="dxa"/>
            <w:tcBorders>
              <w:top w:val="single" w:sz="4" w:space="0" w:color="auto"/>
              <w:left w:val="nil"/>
              <w:bottom w:val="single" w:sz="4" w:space="0" w:color="auto"/>
              <w:right w:val="single" w:sz="8" w:space="0" w:color="auto"/>
            </w:tcBorders>
            <w:shd w:val="clear" w:color="000000" w:fill="FFC000"/>
            <w:vAlign w:val="center"/>
          </w:tcPr>
          <w:p w14:paraId="6491F764" w14:textId="7A478951"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86.5%</w:t>
            </w:r>
          </w:p>
        </w:tc>
        <w:tc>
          <w:tcPr>
            <w:tcW w:w="1356" w:type="dxa"/>
            <w:tcBorders>
              <w:top w:val="single" w:sz="4" w:space="0" w:color="auto"/>
              <w:left w:val="nil"/>
              <w:bottom w:val="single" w:sz="4" w:space="0" w:color="auto"/>
              <w:right w:val="single" w:sz="8" w:space="0" w:color="auto"/>
            </w:tcBorders>
            <w:shd w:val="clear" w:color="000000" w:fill="00B0F0"/>
            <w:vAlign w:val="center"/>
          </w:tcPr>
          <w:p w14:paraId="4ECC948A" w14:textId="375AFF26" w:rsidR="00B054B3" w:rsidRPr="00037267" w:rsidRDefault="00B054B3" w:rsidP="00B054B3">
            <w:pPr>
              <w:spacing w:after="0" w:line="240" w:lineRule="auto"/>
              <w:jc w:val="center"/>
              <w:rPr>
                <w:rFonts w:ascii="Arial" w:eastAsia="Times New Roman" w:hAnsi="Arial" w:cs="Arial"/>
                <w:b/>
                <w:bCs/>
                <w:sz w:val="18"/>
                <w:szCs w:val="18"/>
                <w:lang w:eastAsia="en-GB"/>
              </w:rPr>
            </w:pPr>
            <w:r w:rsidRPr="00037267">
              <w:rPr>
                <w:rFonts w:ascii="Arial" w:hAnsi="Arial" w:cs="Arial"/>
                <w:b/>
                <w:bCs/>
                <w:sz w:val="18"/>
                <w:szCs w:val="18"/>
              </w:rPr>
              <w:t>122.7%</w:t>
            </w:r>
          </w:p>
        </w:tc>
        <w:tc>
          <w:tcPr>
            <w:tcW w:w="1356" w:type="dxa"/>
            <w:tcBorders>
              <w:top w:val="single" w:sz="4" w:space="0" w:color="auto"/>
              <w:left w:val="nil"/>
              <w:bottom w:val="single" w:sz="4" w:space="0" w:color="auto"/>
              <w:right w:val="single" w:sz="8" w:space="0" w:color="auto"/>
            </w:tcBorders>
            <w:shd w:val="clear" w:color="000000" w:fill="FFC000"/>
            <w:vAlign w:val="center"/>
          </w:tcPr>
          <w:p w14:paraId="196B4A7A" w14:textId="18AC10EF"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82.3%</w:t>
            </w:r>
          </w:p>
        </w:tc>
        <w:tc>
          <w:tcPr>
            <w:tcW w:w="1357" w:type="dxa"/>
            <w:tcBorders>
              <w:top w:val="single" w:sz="4" w:space="0" w:color="auto"/>
              <w:left w:val="nil"/>
              <w:bottom w:val="single" w:sz="4" w:space="0" w:color="auto"/>
              <w:right w:val="single" w:sz="8" w:space="0" w:color="auto"/>
            </w:tcBorders>
            <w:shd w:val="clear" w:color="000000" w:fill="00B0F0"/>
            <w:vAlign w:val="center"/>
          </w:tcPr>
          <w:p w14:paraId="4414E3B7" w14:textId="06F976FC" w:rsidR="00B054B3" w:rsidRPr="00037267" w:rsidRDefault="00B054B3" w:rsidP="00B054B3">
            <w:pPr>
              <w:spacing w:after="0" w:line="240" w:lineRule="auto"/>
              <w:jc w:val="center"/>
              <w:rPr>
                <w:rFonts w:ascii="Arial" w:eastAsia="Times New Roman" w:hAnsi="Arial" w:cs="Arial"/>
                <w:b/>
                <w:sz w:val="18"/>
                <w:szCs w:val="18"/>
                <w:lang w:eastAsia="en-GB"/>
              </w:rPr>
            </w:pPr>
            <w:r w:rsidRPr="00037267">
              <w:rPr>
                <w:rFonts w:ascii="Arial" w:hAnsi="Arial" w:cs="Arial"/>
                <w:b/>
                <w:bCs/>
                <w:sz w:val="18"/>
                <w:szCs w:val="18"/>
              </w:rPr>
              <w:t>110.3%</w:t>
            </w:r>
          </w:p>
        </w:tc>
      </w:tr>
      <w:bookmarkEnd w:id="12"/>
    </w:tbl>
    <w:p w14:paraId="60431B8E" w14:textId="77777777" w:rsidR="00C508BD" w:rsidRPr="00037267" w:rsidRDefault="00C508BD" w:rsidP="00B76D21">
      <w:pPr>
        <w:spacing w:after="0" w:line="240" w:lineRule="auto"/>
        <w:rPr>
          <w:rFonts w:ascii="Arial" w:hAnsi="Arial" w:cs="Arial"/>
          <w:bCs/>
        </w:rPr>
      </w:pPr>
    </w:p>
    <w:p w14:paraId="4BBA8AE3" w14:textId="1556F34C" w:rsidR="00C508BD" w:rsidRPr="00037267" w:rsidRDefault="00C508BD" w:rsidP="00C508BD">
      <w:pPr>
        <w:spacing w:after="0" w:line="240" w:lineRule="auto"/>
        <w:rPr>
          <w:rFonts w:ascii="Arial" w:eastAsia="Times New Roman" w:hAnsi="Arial" w:cs="Arial"/>
          <w:b/>
          <w:iCs/>
          <w:color w:val="005EB8"/>
          <w:lang w:eastAsia="en-GB"/>
        </w:rPr>
      </w:pPr>
      <w:r w:rsidRPr="00037267">
        <w:rPr>
          <w:rFonts w:ascii="Arial" w:eastAsia="Times New Roman" w:hAnsi="Arial" w:cs="Arial"/>
          <w:b/>
          <w:iCs/>
          <w:color w:val="005EB8"/>
          <w:lang w:eastAsia="en-GB"/>
        </w:rPr>
        <w:t>Appendix 1c: E</w:t>
      </w:r>
      <w:r w:rsidR="00456006" w:rsidRPr="00037267">
        <w:rPr>
          <w:rFonts w:ascii="Arial" w:eastAsia="Times New Roman" w:hAnsi="Arial" w:cs="Arial"/>
          <w:b/>
          <w:iCs/>
          <w:color w:val="005EB8"/>
          <w:lang w:eastAsia="en-GB"/>
        </w:rPr>
        <w:t>nhanced Care</w:t>
      </w:r>
      <w:r w:rsidRPr="00037267">
        <w:rPr>
          <w:rFonts w:ascii="Arial" w:eastAsia="Times New Roman" w:hAnsi="Arial" w:cs="Arial"/>
          <w:b/>
          <w:iCs/>
          <w:color w:val="005EB8"/>
          <w:lang w:eastAsia="en-GB"/>
        </w:rPr>
        <w:t xml:space="preserve"> data submitted to NHSE ETOC Collaborative </w:t>
      </w:r>
      <w:r w:rsidR="0057060E" w:rsidRPr="00037267">
        <w:rPr>
          <w:rFonts w:ascii="Arial" w:eastAsia="Times New Roman" w:hAnsi="Arial" w:cs="Arial"/>
          <w:b/>
          <w:bCs/>
          <w:iCs/>
          <w:color w:val="005EB8"/>
          <w:lang w:eastAsia="en-GB"/>
        </w:rPr>
        <w:t>Novem</w:t>
      </w:r>
      <w:r w:rsidRPr="00037267">
        <w:rPr>
          <w:rFonts w:ascii="Arial" w:eastAsia="Times New Roman" w:hAnsi="Arial" w:cs="Arial"/>
          <w:b/>
          <w:iCs/>
          <w:color w:val="005EB8"/>
          <w:lang w:eastAsia="en-GB"/>
        </w:rPr>
        <w:t>ber 2025</w:t>
      </w:r>
    </w:p>
    <w:p w14:paraId="26E2E87E" w14:textId="6A8AA900" w:rsidR="007154A4" w:rsidRPr="00037267" w:rsidRDefault="00D246D1" w:rsidP="00C508BD">
      <w:pPr>
        <w:shd w:val="clear" w:color="auto" w:fill="FFFFFF"/>
        <w:spacing w:after="0" w:line="240" w:lineRule="auto"/>
        <w:rPr>
          <w:rFonts w:ascii="Arial" w:eastAsia="Times New Roman" w:hAnsi="Arial" w:cs="Arial"/>
          <w:color w:val="242424"/>
          <w:lang w:eastAsia="en-GB"/>
        </w:rPr>
      </w:pPr>
      <w:r w:rsidRPr="00037267">
        <w:rPr>
          <w:rFonts w:ascii="Arial" w:hAnsi="Arial" w:cs="Arial"/>
          <w:noProof/>
        </w:rPr>
        <w:drawing>
          <wp:inline distT="0" distB="0" distL="0" distR="0" wp14:anchorId="38227E77" wp14:editId="43DA3BF2">
            <wp:extent cx="3416300" cy="1712132"/>
            <wp:effectExtent l="0" t="0" r="0" b="2540"/>
            <wp:docPr id="1225152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8209" cy="1718101"/>
                    </a:xfrm>
                    <a:prstGeom prst="rect">
                      <a:avLst/>
                    </a:prstGeom>
                    <a:noFill/>
                    <a:ln>
                      <a:noFill/>
                    </a:ln>
                  </pic:spPr>
                </pic:pic>
              </a:graphicData>
            </a:graphic>
          </wp:inline>
        </w:drawing>
      </w:r>
    </w:p>
    <w:p w14:paraId="398A18B8" w14:textId="77777777" w:rsidR="00A67E61" w:rsidRPr="00037267" w:rsidRDefault="00C508BD" w:rsidP="00A67E61">
      <w:pPr>
        <w:shd w:val="clear" w:color="auto" w:fill="FFFFFF"/>
        <w:spacing w:after="0" w:line="240" w:lineRule="auto"/>
        <w:rPr>
          <w:rFonts w:ascii="Arial" w:eastAsia="Times New Roman" w:hAnsi="Arial" w:cs="Arial"/>
          <w:color w:val="242424"/>
          <w:lang w:eastAsia="en-GB"/>
        </w:rPr>
      </w:pPr>
      <w:r w:rsidRPr="00037267">
        <w:rPr>
          <w:rFonts w:ascii="Arial" w:eastAsia="Times New Roman" w:hAnsi="Arial" w:cs="Arial"/>
          <w:color w:val="242424"/>
          <w:lang w:eastAsia="en-GB"/>
        </w:rPr>
        <w:t> </w:t>
      </w:r>
    </w:p>
    <w:p w14:paraId="6D61D191" w14:textId="77777777" w:rsidR="002F35EC" w:rsidRPr="002D2F1B" w:rsidRDefault="002F35EC" w:rsidP="002F35EC">
      <w:pPr>
        <w:shd w:val="clear" w:color="auto" w:fill="FFFFFF"/>
        <w:spacing w:after="0" w:line="240" w:lineRule="auto"/>
        <w:rPr>
          <w:rFonts w:ascii="Arial" w:eastAsia="Times New Roman" w:hAnsi="Arial" w:cs="Arial"/>
          <w:color w:val="242424"/>
          <w:lang w:eastAsia="en-GB"/>
        </w:rPr>
      </w:pPr>
      <w:r w:rsidRPr="00E44878">
        <w:rPr>
          <w:rFonts w:ascii="Arial" w:eastAsia="Times New Roman" w:hAnsi="Arial" w:cs="Arial"/>
          <w:b/>
          <w:bCs/>
          <w:color w:val="005EB8"/>
          <w:lang w:eastAsia="en-GB"/>
        </w:rPr>
        <w:t>Enhanced Care –</w:t>
      </w:r>
      <w:r w:rsidRPr="00E44878">
        <w:rPr>
          <w:rFonts w:ascii="Arial" w:eastAsia="Times New Roman" w:hAnsi="Arial" w:cs="Arial"/>
          <w:b/>
          <w:bCs/>
          <w:color w:val="242424"/>
          <w:lang w:eastAsia="en-GB"/>
        </w:rPr>
        <w:t xml:space="preserve"> </w:t>
      </w:r>
      <w:r w:rsidRPr="002D2F1B">
        <w:rPr>
          <w:rFonts w:ascii="Arial" w:eastAsia="Times New Roman" w:hAnsi="Arial" w:cs="Arial"/>
          <w:lang w:eastAsia="en-GB"/>
        </w:rPr>
        <w:t>In November, the Trust required 10,569 enhanced care hours, of which 10,196 hours (96.5%) were delivered. Temporary staffing provided 78.7% of all required enhanced care hours (NHS Professionals 76.6%, agency 2.0%), with 3.5% remaining unfilled.</w:t>
      </w:r>
    </w:p>
    <w:p w14:paraId="5CB1AACD" w14:textId="77777777" w:rsidR="002F35EC" w:rsidRPr="002D2F1B" w:rsidRDefault="002F35EC" w:rsidP="002F35EC">
      <w:pPr>
        <w:spacing w:before="100" w:beforeAutospacing="1" w:after="100" w:afterAutospacing="1" w:line="240" w:lineRule="auto"/>
        <w:rPr>
          <w:rFonts w:ascii="Arial" w:eastAsia="Times New Roman" w:hAnsi="Arial" w:cs="Arial"/>
          <w:lang w:eastAsia="en-GB"/>
        </w:rPr>
      </w:pPr>
      <w:r w:rsidRPr="002D2F1B">
        <w:rPr>
          <w:rFonts w:ascii="Arial" w:eastAsia="Times New Roman" w:hAnsi="Arial" w:cs="Arial"/>
          <w:lang w:eastAsia="en-GB"/>
        </w:rPr>
        <w:lastRenderedPageBreak/>
        <w:t>All registered enhanced care was delivered through temporary staffing (Bank 89.2%, Agency 10.8%), with 3.1% of required registered hours unfilled. Unregistered enhanced care demonstrated a greater substantive contribution (22.9% of hours delivered), although 74.3% of required hours continued to be met through temporary staffing.</w:t>
      </w:r>
    </w:p>
    <w:p w14:paraId="3C226E59" w14:textId="01E90250" w:rsidR="00A25A23" w:rsidRPr="002F35EC" w:rsidRDefault="002F35EC" w:rsidP="002F35EC">
      <w:pPr>
        <w:spacing w:before="100" w:beforeAutospacing="1" w:after="100" w:afterAutospacing="1" w:line="240" w:lineRule="auto"/>
        <w:rPr>
          <w:rFonts w:ascii="Arial" w:eastAsia="Times New Roman" w:hAnsi="Arial" w:cs="Arial"/>
          <w:lang w:eastAsia="en-GB"/>
        </w:rPr>
      </w:pPr>
      <w:r w:rsidRPr="002D2F1B">
        <w:rPr>
          <w:rFonts w:ascii="Arial" w:eastAsia="Times New Roman" w:hAnsi="Arial" w:cs="Arial"/>
          <w:lang w:eastAsia="en-GB"/>
        </w:rPr>
        <w:t>This profile confirms a structural establishment gap in enhanced care provision, consistent with the observed increase in Red Flags relating to unmet enhanced care need</w:t>
      </w:r>
      <w:r>
        <w:rPr>
          <w:rFonts w:ascii="Arial" w:eastAsia="Times New Roman" w:hAnsi="Arial" w:cs="Arial"/>
          <w:lang w:eastAsia="en-GB"/>
        </w:rPr>
        <w:t xml:space="preserve">s. </w:t>
      </w:r>
      <w:r w:rsidRPr="00355A93">
        <w:rPr>
          <w:rFonts w:ascii="Arial" w:hAnsi="Arial" w:cs="Arial"/>
        </w:rPr>
        <w:t xml:space="preserve">A Task and Finish Group will be re-established </w:t>
      </w:r>
      <w:r w:rsidRPr="00355A93">
        <w:rPr>
          <w:rStyle w:val="Strong"/>
          <w:rFonts w:ascii="Arial" w:hAnsi="Arial" w:cs="Arial"/>
          <w:b w:val="0"/>
          <w:bCs w:val="0"/>
        </w:rPr>
        <w:t>in January</w:t>
      </w:r>
      <w:r w:rsidRPr="00355A93">
        <w:rPr>
          <w:rFonts w:ascii="Arial" w:hAnsi="Arial" w:cs="Arial"/>
        </w:rPr>
        <w:t xml:space="preserve"> </w:t>
      </w:r>
      <w:r>
        <w:rPr>
          <w:rFonts w:ascii="Arial" w:hAnsi="Arial" w:cs="Arial"/>
        </w:rPr>
        <w:t xml:space="preserve">2026 </w:t>
      </w:r>
      <w:r w:rsidRPr="00355A93">
        <w:rPr>
          <w:rFonts w:ascii="Arial" w:hAnsi="Arial" w:cs="Arial"/>
        </w:rPr>
        <w:t xml:space="preserve">to review enhanced care demand and ensure a safe, sustainable workforce model, focusing on risk assessment and validation, decision-making and utilisation of </w:t>
      </w:r>
      <w:r>
        <w:rPr>
          <w:rFonts w:ascii="Arial" w:hAnsi="Arial" w:cs="Arial"/>
        </w:rPr>
        <w:t xml:space="preserve">the </w:t>
      </w:r>
      <w:r w:rsidRPr="00355A93">
        <w:rPr>
          <w:rFonts w:ascii="Arial" w:hAnsi="Arial" w:cs="Arial"/>
        </w:rPr>
        <w:t>Enhanced Care team, training requirements, and strengthened governance, including oversight of usage, WTE and financial impact.</w:t>
      </w:r>
    </w:p>
    <w:p w14:paraId="5B8DB09A" w14:textId="49147740" w:rsidR="009913FC" w:rsidRPr="00037267" w:rsidRDefault="009913FC" w:rsidP="009E48BB">
      <w:pPr>
        <w:spacing w:after="0" w:line="240" w:lineRule="auto"/>
        <w:rPr>
          <w:rFonts w:ascii="Arial" w:eastAsia="Times New Roman" w:hAnsi="Arial" w:cs="Arial"/>
          <w:b/>
          <w:color w:val="005EB8"/>
          <w:lang w:eastAsia="en-GB"/>
        </w:rPr>
      </w:pPr>
      <w:r w:rsidRPr="00037267">
        <w:rPr>
          <w:rFonts w:ascii="Arial" w:eastAsia="Times New Roman" w:hAnsi="Arial" w:cs="Arial"/>
          <w:b/>
          <w:color w:val="005EB8"/>
          <w:lang w:eastAsia="en-GB"/>
        </w:rPr>
        <w:t xml:space="preserve">Appendix </w:t>
      </w:r>
      <w:r w:rsidR="003057C3" w:rsidRPr="00037267">
        <w:rPr>
          <w:rFonts w:ascii="Arial" w:eastAsia="Times New Roman" w:hAnsi="Arial" w:cs="Arial"/>
          <w:b/>
          <w:color w:val="005EB8"/>
          <w:lang w:eastAsia="en-GB"/>
        </w:rPr>
        <w:t>2</w:t>
      </w:r>
      <w:r w:rsidRPr="00037267">
        <w:rPr>
          <w:rFonts w:ascii="Arial" w:eastAsia="Times New Roman" w:hAnsi="Arial" w:cs="Arial"/>
          <w:b/>
          <w:color w:val="005EB8"/>
          <w:lang w:eastAsia="en-GB"/>
        </w:rPr>
        <w:t xml:space="preserve">:  Ward level data: CHPPD </w:t>
      </w:r>
      <w:r w:rsidR="0057060E" w:rsidRPr="00037267">
        <w:rPr>
          <w:rFonts w:ascii="Arial" w:eastAsia="Times New Roman" w:hAnsi="Arial" w:cs="Arial"/>
          <w:b/>
          <w:bCs/>
          <w:color w:val="005EB8"/>
          <w:lang w:eastAsia="en-GB"/>
        </w:rPr>
        <w:t>Novem</w:t>
      </w:r>
      <w:r w:rsidR="004032B8" w:rsidRPr="00037267">
        <w:rPr>
          <w:rFonts w:ascii="Arial" w:eastAsia="Times New Roman" w:hAnsi="Arial" w:cs="Arial"/>
          <w:b/>
          <w:color w:val="005EB8"/>
          <w:lang w:eastAsia="en-GB"/>
        </w:rPr>
        <w:t>ber</w:t>
      </w:r>
      <w:r w:rsidR="00977A20" w:rsidRPr="00037267">
        <w:rPr>
          <w:rFonts w:ascii="Arial" w:eastAsia="Times New Roman" w:hAnsi="Arial" w:cs="Arial"/>
          <w:b/>
          <w:color w:val="005EB8"/>
          <w:lang w:eastAsia="en-GB"/>
        </w:rPr>
        <w:t xml:space="preserve"> 2025</w:t>
      </w:r>
    </w:p>
    <w:p w14:paraId="65BCEC65" w14:textId="77777777" w:rsidR="009913FC" w:rsidRPr="00037267" w:rsidRDefault="009913FC" w:rsidP="00971145">
      <w:pPr>
        <w:spacing w:after="0" w:line="240" w:lineRule="auto"/>
        <w:rPr>
          <w:rFonts w:ascii="Arial" w:eastAsia="Times New Roman" w:hAnsi="Arial" w:cs="Arial"/>
          <w:b/>
          <w:color w:val="005EB8"/>
          <w:lang w:eastAsia="en-GB"/>
        </w:rPr>
      </w:pPr>
    </w:p>
    <w:tbl>
      <w:tblPr>
        <w:tblW w:w="9067" w:type="dxa"/>
        <w:tblLayout w:type="fixed"/>
        <w:tblLook w:val="04A0" w:firstRow="1" w:lastRow="0" w:firstColumn="1" w:lastColumn="0" w:noHBand="0" w:noVBand="1"/>
      </w:tblPr>
      <w:tblGrid>
        <w:gridCol w:w="2266"/>
        <w:gridCol w:w="2267"/>
        <w:gridCol w:w="2267"/>
        <w:gridCol w:w="2267"/>
      </w:tblGrid>
      <w:tr w:rsidR="00D43C88" w:rsidRPr="00037267" w14:paraId="0C75BD5F" w14:textId="77777777" w:rsidTr="007154A4">
        <w:trPr>
          <w:trHeight w:val="170"/>
        </w:trPr>
        <w:tc>
          <w:tcPr>
            <w:tcW w:w="9067" w:type="dxa"/>
            <w:gridSpan w:val="4"/>
            <w:tcBorders>
              <w:top w:val="single" w:sz="18" w:space="0" w:color="000000"/>
              <w:left w:val="single" w:sz="18" w:space="0" w:color="000000"/>
              <w:bottom w:val="single" w:sz="4" w:space="0" w:color="auto"/>
              <w:right w:val="single" w:sz="18" w:space="0" w:color="000000"/>
            </w:tcBorders>
            <w:shd w:val="clear" w:color="000000" w:fill="9BC2E6"/>
            <w:noWrap/>
            <w:vAlign w:val="bottom"/>
            <w:hideMark/>
          </w:tcPr>
          <w:p w14:paraId="1BC5C07A" w14:textId="77777777" w:rsidR="00D43C88" w:rsidRPr="00037267" w:rsidRDefault="00D43C88" w:rsidP="00D43C88">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Care Hours Per Patient Day (CHPPD)</w:t>
            </w:r>
          </w:p>
        </w:tc>
      </w:tr>
      <w:tr w:rsidR="00D43C88" w:rsidRPr="00037267" w14:paraId="3D501DE6" w14:textId="77777777" w:rsidTr="007154A4">
        <w:trPr>
          <w:trHeight w:val="170"/>
        </w:trPr>
        <w:tc>
          <w:tcPr>
            <w:tcW w:w="2266" w:type="dxa"/>
            <w:tcBorders>
              <w:top w:val="single" w:sz="18" w:space="0" w:color="000000"/>
              <w:left w:val="single" w:sz="18" w:space="0" w:color="000000"/>
              <w:bottom w:val="single" w:sz="18" w:space="0" w:color="000000"/>
              <w:right w:val="single" w:sz="18" w:space="0" w:color="000000"/>
            </w:tcBorders>
            <w:shd w:val="clear" w:color="000000" w:fill="9BC2E6"/>
            <w:noWrap/>
            <w:vAlign w:val="center"/>
            <w:hideMark/>
          </w:tcPr>
          <w:p w14:paraId="1BEEB011" w14:textId="77777777" w:rsidR="00D43C88" w:rsidRPr="00037267" w:rsidRDefault="00D43C88" w:rsidP="00D43C88">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Ward</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EE54BC0" w14:textId="77777777" w:rsidR="00D43C88" w:rsidRPr="00037267" w:rsidRDefault="00D43C88" w:rsidP="00D43C88">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D97DAD8" w14:textId="77777777" w:rsidR="00D43C88" w:rsidRPr="00037267" w:rsidRDefault="00D43C88" w:rsidP="00D43C88">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Non-registered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35B35EFF" w14:textId="77777777" w:rsidR="00D43C88" w:rsidRPr="00037267" w:rsidRDefault="00D43C88" w:rsidP="00D43C88">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Overall</w:t>
            </w:r>
          </w:p>
        </w:tc>
      </w:tr>
      <w:tr w:rsidR="007C77D1" w:rsidRPr="00037267" w14:paraId="468642A3" w14:textId="77777777" w:rsidTr="007C77D1">
        <w:trPr>
          <w:trHeight w:val="116"/>
        </w:trPr>
        <w:tc>
          <w:tcPr>
            <w:tcW w:w="2266" w:type="dxa"/>
            <w:tcBorders>
              <w:top w:val="single" w:sz="18" w:space="0" w:color="000000"/>
              <w:left w:val="single" w:sz="18" w:space="0" w:color="000000"/>
              <w:bottom w:val="single" w:sz="18" w:space="0" w:color="000000"/>
              <w:right w:val="single" w:sz="18" w:space="0" w:color="000000"/>
            </w:tcBorders>
            <w:shd w:val="clear" w:color="auto" w:fill="4472C4" w:themeFill="accent1"/>
            <w:vAlign w:val="center"/>
            <w:hideMark/>
          </w:tcPr>
          <w:p w14:paraId="4597E269" w14:textId="77777777" w:rsidR="007C77D1" w:rsidRPr="00037267" w:rsidRDefault="007C77D1" w:rsidP="007C77D1">
            <w:pPr>
              <w:spacing w:after="0" w:line="240" w:lineRule="auto"/>
              <w:jc w:val="center"/>
              <w:rPr>
                <w:rFonts w:ascii="Arial" w:eastAsia="Times New Roman" w:hAnsi="Arial" w:cs="Arial"/>
                <w:b/>
                <w:i/>
                <w:color w:val="000000"/>
                <w:sz w:val="20"/>
                <w:szCs w:val="20"/>
                <w:lang w:eastAsia="en-GB"/>
              </w:rPr>
            </w:pPr>
            <w:r w:rsidRPr="00037267">
              <w:rPr>
                <w:rFonts w:ascii="Arial" w:eastAsia="Times New Roman" w:hAnsi="Arial" w:cs="Arial"/>
                <w:b/>
                <w:i/>
                <w:color w:val="000000"/>
                <w:sz w:val="20"/>
                <w:szCs w:val="20"/>
                <w:lang w:eastAsia="en-GB"/>
              </w:rPr>
              <w:t>Trust Total</w:t>
            </w:r>
          </w:p>
        </w:tc>
        <w:tc>
          <w:tcPr>
            <w:tcW w:w="2267" w:type="dxa"/>
            <w:tcBorders>
              <w:top w:val="single" w:sz="18" w:space="0" w:color="000000"/>
              <w:left w:val="single" w:sz="18" w:space="0" w:color="000000"/>
              <w:bottom w:val="single" w:sz="18" w:space="0" w:color="000000"/>
              <w:right w:val="single" w:sz="18" w:space="0" w:color="auto"/>
            </w:tcBorders>
            <w:shd w:val="clear" w:color="auto" w:fill="4472C4" w:themeFill="accent1"/>
          </w:tcPr>
          <w:p w14:paraId="6ED5B886" w14:textId="54332784"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5.0</w:t>
            </w:r>
          </w:p>
        </w:tc>
        <w:tc>
          <w:tcPr>
            <w:tcW w:w="2267" w:type="dxa"/>
            <w:tcBorders>
              <w:top w:val="single" w:sz="18" w:space="0" w:color="000000"/>
              <w:left w:val="single" w:sz="18" w:space="0" w:color="auto"/>
              <w:bottom w:val="single" w:sz="18" w:space="0" w:color="000000"/>
              <w:right w:val="single" w:sz="18" w:space="0" w:color="auto"/>
            </w:tcBorders>
            <w:shd w:val="clear" w:color="auto" w:fill="4472C4" w:themeFill="accent1"/>
          </w:tcPr>
          <w:p w14:paraId="1814D97A" w14:textId="479B3103"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3.0</w:t>
            </w:r>
          </w:p>
        </w:tc>
        <w:tc>
          <w:tcPr>
            <w:tcW w:w="2267" w:type="dxa"/>
            <w:tcBorders>
              <w:top w:val="single" w:sz="18" w:space="0" w:color="000000"/>
              <w:left w:val="single" w:sz="18" w:space="0" w:color="auto"/>
              <w:bottom w:val="single" w:sz="18" w:space="0" w:color="000000"/>
              <w:right w:val="single" w:sz="18" w:space="0" w:color="000000"/>
            </w:tcBorders>
            <w:shd w:val="clear" w:color="auto" w:fill="4472C4" w:themeFill="accent1"/>
          </w:tcPr>
          <w:p w14:paraId="72E7ED44" w14:textId="435C30BF"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7.9</w:t>
            </w:r>
          </w:p>
        </w:tc>
      </w:tr>
      <w:tr w:rsidR="007C77D1" w:rsidRPr="00037267" w14:paraId="0827159A" w14:textId="77777777" w:rsidTr="00D1177B">
        <w:trPr>
          <w:trHeight w:val="170"/>
        </w:trPr>
        <w:tc>
          <w:tcPr>
            <w:tcW w:w="2266" w:type="dxa"/>
            <w:tcBorders>
              <w:top w:val="single" w:sz="18" w:space="0" w:color="000000"/>
              <w:left w:val="single" w:sz="18" w:space="0" w:color="000000"/>
              <w:bottom w:val="single" w:sz="4" w:space="0" w:color="auto"/>
              <w:right w:val="single" w:sz="18" w:space="0" w:color="000000"/>
            </w:tcBorders>
            <w:noWrap/>
          </w:tcPr>
          <w:p w14:paraId="27B747A6"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Harvey Ward</w:t>
            </w:r>
          </w:p>
        </w:tc>
        <w:tc>
          <w:tcPr>
            <w:tcW w:w="2267" w:type="dxa"/>
            <w:tcBorders>
              <w:top w:val="single" w:sz="4" w:space="0" w:color="auto"/>
              <w:left w:val="single" w:sz="8" w:space="0" w:color="auto"/>
              <w:bottom w:val="single" w:sz="4" w:space="0" w:color="auto"/>
              <w:right w:val="single" w:sz="18" w:space="0" w:color="auto"/>
            </w:tcBorders>
            <w:shd w:val="clear" w:color="000000" w:fill="D0CECE"/>
            <w:noWrap/>
          </w:tcPr>
          <w:p w14:paraId="3D447C61" w14:textId="62029DDB"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4.3</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tcPr>
          <w:p w14:paraId="07645D40" w14:textId="4919870F"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4.0</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tcPr>
          <w:p w14:paraId="305A02B8" w14:textId="25E5C6B3"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8.2</w:t>
            </w:r>
          </w:p>
        </w:tc>
      </w:tr>
      <w:tr w:rsidR="007C77D1" w:rsidRPr="00037267" w14:paraId="68E1B258"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5E7476BB"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Henry Moore Ward</w:t>
            </w:r>
          </w:p>
        </w:tc>
        <w:tc>
          <w:tcPr>
            <w:tcW w:w="2267" w:type="dxa"/>
            <w:tcBorders>
              <w:top w:val="nil"/>
              <w:left w:val="single" w:sz="8" w:space="0" w:color="auto"/>
              <w:bottom w:val="single" w:sz="4" w:space="0" w:color="auto"/>
              <w:right w:val="single" w:sz="18" w:space="0" w:color="auto"/>
            </w:tcBorders>
            <w:shd w:val="clear" w:color="000000" w:fill="D0CECE"/>
            <w:noWrap/>
          </w:tcPr>
          <w:p w14:paraId="34FBD035" w14:textId="79C4932E"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3.6</w:t>
            </w:r>
          </w:p>
        </w:tc>
        <w:tc>
          <w:tcPr>
            <w:tcW w:w="2267" w:type="dxa"/>
            <w:tcBorders>
              <w:top w:val="nil"/>
              <w:left w:val="single" w:sz="18" w:space="0" w:color="auto"/>
              <w:bottom w:val="single" w:sz="4" w:space="0" w:color="auto"/>
              <w:right w:val="single" w:sz="18" w:space="0" w:color="auto"/>
            </w:tcBorders>
            <w:shd w:val="clear" w:color="000000" w:fill="D0CECE"/>
            <w:noWrap/>
          </w:tcPr>
          <w:p w14:paraId="3B6F46CA" w14:textId="4E3720B8"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2.7</w:t>
            </w:r>
          </w:p>
        </w:tc>
        <w:tc>
          <w:tcPr>
            <w:tcW w:w="2267" w:type="dxa"/>
            <w:tcBorders>
              <w:top w:val="nil"/>
              <w:left w:val="single" w:sz="18" w:space="0" w:color="auto"/>
              <w:bottom w:val="single" w:sz="4" w:space="0" w:color="auto"/>
              <w:right w:val="single" w:sz="18" w:space="0" w:color="auto"/>
            </w:tcBorders>
            <w:shd w:val="clear" w:color="000000" w:fill="D0CECE"/>
            <w:noWrap/>
          </w:tcPr>
          <w:p w14:paraId="36FB7C70" w14:textId="768F72AE"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6.3</w:t>
            </w:r>
          </w:p>
        </w:tc>
      </w:tr>
      <w:tr w:rsidR="007C77D1" w:rsidRPr="00037267" w14:paraId="05970038"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3583DC1F"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ITU &amp; HDU</w:t>
            </w:r>
          </w:p>
        </w:tc>
        <w:tc>
          <w:tcPr>
            <w:tcW w:w="2267" w:type="dxa"/>
            <w:tcBorders>
              <w:top w:val="nil"/>
              <w:left w:val="single" w:sz="8" w:space="0" w:color="auto"/>
              <w:bottom w:val="single" w:sz="4" w:space="0" w:color="auto"/>
              <w:right w:val="single" w:sz="18" w:space="0" w:color="auto"/>
            </w:tcBorders>
            <w:shd w:val="clear" w:color="000000" w:fill="D0CECE"/>
            <w:noWrap/>
          </w:tcPr>
          <w:p w14:paraId="1EA0584C" w14:textId="50640342"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20.0</w:t>
            </w:r>
          </w:p>
        </w:tc>
        <w:tc>
          <w:tcPr>
            <w:tcW w:w="2267" w:type="dxa"/>
            <w:tcBorders>
              <w:top w:val="nil"/>
              <w:left w:val="single" w:sz="18" w:space="0" w:color="auto"/>
              <w:bottom w:val="single" w:sz="4" w:space="0" w:color="auto"/>
              <w:right w:val="single" w:sz="18" w:space="0" w:color="auto"/>
            </w:tcBorders>
            <w:shd w:val="clear" w:color="000000" w:fill="D0CECE"/>
            <w:noWrap/>
          </w:tcPr>
          <w:p w14:paraId="08681695" w14:textId="0473A504"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1.9</w:t>
            </w:r>
          </w:p>
        </w:tc>
        <w:tc>
          <w:tcPr>
            <w:tcW w:w="2267" w:type="dxa"/>
            <w:tcBorders>
              <w:top w:val="nil"/>
              <w:left w:val="single" w:sz="18" w:space="0" w:color="auto"/>
              <w:bottom w:val="single" w:sz="4" w:space="0" w:color="auto"/>
              <w:right w:val="single" w:sz="18" w:space="0" w:color="auto"/>
            </w:tcBorders>
            <w:shd w:val="clear" w:color="000000" w:fill="D0CECE"/>
            <w:noWrap/>
          </w:tcPr>
          <w:p w14:paraId="1C3703BC" w14:textId="61FEEFBC"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21.9</w:t>
            </w:r>
          </w:p>
        </w:tc>
      </w:tr>
      <w:tr w:rsidR="007C77D1" w:rsidRPr="00037267" w14:paraId="0A468044"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0CF00B4F"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John Snow Ward</w:t>
            </w:r>
          </w:p>
        </w:tc>
        <w:tc>
          <w:tcPr>
            <w:tcW w:w="2267" w:type="dxa"/>
            <w:tcBorders>
              <w:top w:val="nil"/>
              <w:left w:val="single" w:sz="8" w:space="0" w:color="auto"/>
              <w:bottom w:val="single" w:sz="4" w:space="0" w:color="auto"/>
              <w:right w:val="single" w:sz="18" w:space="0" w:color="auto"/>
            </w:tcBorders>
            <w:shd w:val="clear" w:color="000000" w:fill="D0CECE"/>
            <w:noWrap/>
          </w:tcPr>
          <w:p w14:paraId="6FEE9A8E" w14:textId="0D0EB0A0"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6.6</w:t>
            </w:r>
          </w:p>
        </w:tc>
        <w:tc>
          <w:tcPr>
            <w:tcW w:w="2267" w:type="dxa"/>
            <w:tcBorders>
              <w:top w:val="nil"/>
              <w:left w:val="single" w:sz="18" w:space="0" w:color="auto"/>
              <w:bottom w:val="single" w:sz="4" w:space="0" w:color="auto"/>
              <w:right w:val="single" w:sz="18" w:space="0" w:color="auto"/>
            </w:tcBorders>
            <w:shd w:val="clear" w:color="000000" w:fill="D0CECE"/>
            <w:noWrap/>
          </w:tcPr>
          <w:p w14:paraId="2FAC3704" w14:textId="5288A403"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1.4</w:t>
            </w:r>
          </w:p>
        </w:tc>
        <w:tc>
          <w:tcPr>
            <w:tcW w:w="2267" w:type="dxa"/>
            <w:tcBorders>
              <w:top w:val="nil"/>
              <w:left w:val="single" w:sz="18" w:space="0" w:color="auto"/>
              <w:bottom w:val="single" w:sz="4" w:space="0" w:color="auto"/>
              <w:right w:val="single" w:sz="18" w:space="0" w:color="auto"/>
            </w:tcBorders>
            <w:shd w:val="clear" w:color="000000" w:fill="D0CECE"/>
            <w:noWrap/>
          </w:tcPr>
          <w:p w14:paraId="7CC770FC" w14:textId="73B2503B"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7.9</w:t>
            </w:r>
          </w:p>
        </w:tc>
      </w:tr>
      <w:tr w:rsidR="007C77D1" w:rsidRPr="00037267" w14:paraId="521051D0"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4DB368F9"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Penn Ward</w:t>
            </w:r>
          </w:p>
        </w:tc>
        <w:tc>
          <w:tcPr>
            <w:tcW w:w="2267" w:type="dxa"/>
            <w:tcBorders>
              <w:top w:val="nil"/>
              <w:left w:val="single" w:sz="8" w:space="0" w:color="auto"/>
              <w:bottom w:val="single" w:sz="4" w:space="0" w:color="auto"/>
              <w:right w:val="single" w:sz="18" w:space="0" w:color="auto"/>
            </w:tcBorders>
            <w:shd w:val="clear" w:color="000000" w:fill="D0CECE"/>
            <w:noWrap/>
          </w:tcPr>
          <w:p w14:paraId="76CF021A" w14:textId="5CAA62FA"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3.8</w:t>
            </w:r>
          </w:p>
        </w:tc>
        <w:tc>
          <w:tcPr>
            <w:tcW w:w="2267" w:type="dxa"/>
            <w:tcBorders>
              <w:top w:val="nil"/>
              <w:left w:val="single" w:sz="18" w:space="0" w:color="auto"/>
              <w:bottom w:val="single" w:sz="4" w:space="0" w:color="auto"/>
              <w:right w:val="single" w:sz="18" w:space="0" w:color="auto"/>
            </w:tcBorders>
            <w:shd w:val="clear" w:color="000000" w:fill="D0CECE"/>
            <w:noWrap/>
          </w:tcPr>
          <w:p w14:paraId="7E90A3FD" w14:textId="208D6EA0"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3.3</w:t>
            </w:r>
          </w:p>
        </w:tc>
        <w:tc>
          <w:tcPr>
            <w:tcW w:w="2267" w:type="dxa"/>
            <w:tcBorders>
              <w:top w:val="nil"/>
              <w:left w:val="single" w:sz="18" w:space="0" w:color="auto"/>
              <w:bottom w:val="single" w:sz="4" w:space="0" w:color="auto"/>
              <w:right w:val="single" w:sz="18" w:space="0" w:color="auto"/>
            </w:tcBorders>
            <w:shd w:val="clear" w:color="000000" w:fill="D0CECE"/>
            <w:noWrap/>
          </w:tcPr>
          <w:p w14:paraId="0DF02D8E" w14:textId="78570F38"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7.1</w:t>
            </w:r>
          </w:p>
        </w:tc>
      </w:tr>
      <w:tr w:rsidR="007C77D1" w:rsidRPr="00037267" w14:paraId="0B1F705E"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571F7F5D"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Saunders Unit</w:t>
            </w:r>
          </w:p>
        </w:tc>
        <w:tc>
          <w:tcPr>
            <w:tcW w:w="2267" w:type="dxa"/>
            <w:tcBorders>
              <w:top w:val="nil"/>
              <w:left w:val="single" w:sz="8" w:space="0" w:color="auto"/>
              <w:bottom w:val="single" w:sz="4" w:space="0" w:color="auto"/>
              <w:right w:val="single" w:sz="18" w:space="0" w:color="auto"/>
            </w:tcBorders>
            <w:shd w:val="clear" w:color="000000" w:fill="D0CECE"/>
            <w:noWrap/>
          </w:tcPr>
          <w:p w14:paraId="6E65F4B7" w14:textId="13D094BA"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3.6</w:t>
            </w:r>
          </w:p>
        </w:tc>
        <w:tc>
          <w:tcPr>
            <w:tcW w:w="2267" w:type="dxa"/>
            <w:tcBorders>
              <w:top w:val="nil"/>
              <w:left w:val="single" w:sz="18" w:space="0" w:color="auto"/>
              <w:bottom w:val="single" w:sz="4" w:space="0" w:color="auto"/>
              <w:right w:val="single" w:sz="18" w:space="0" w:color="auto"/>
            </w:tcBorders>
            <w:shd w:val="clear" w:color="000000" w:fill="D0CECE"/>
            <w:noWrap/>
          </w:tcPr>
          <w:p w14:paraId="5869F9D4" w14:textId="7971F8D3"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3.2</w:t>
            </w:r>
          </w:p>
        </w:tc>
        <w:tc>
          <w:tcPr>
            <w:tcW w:w="2267" w:type="dxa"/>
            <w:tcBorders>
              <w:top w:val="nil"/>
              <w:left w:val="single" w:sz="18" w:space="0" w:color="auto"/>
              <w:bottom w:val="single" w:sz="4" w:space="0" w:color="auto"/>
              <w:right w:val="single" w:sz="18" w:space="0" w:color="auto"/>
            </w:tcBorders>
            <w:shd w:val="clear" w:color="000000" w:fill="D0CECE"/>
            <w:noWrap/>
          </w:tcPr>
          <w:p w14:paraId="74A222D6" w14:textId="21CC517A"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6.8</w:t>
            </w:r>
          </w:p>
        </w:tc>
      </w:tr>
      <w:tr w:rsidR="007C77D1" w:rsidRPr="00037267" w14:paraId="4A0A962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50268D1B" w14:textId="77777777" w:rsidR="007C77D1" w:rsidRPr="00037267" w:rsidRDefault="007C77D1" w:rsidP="007C77D1">
            <w:pPr>
              <w:spacing w:after="0" w:line="240" w:lineRule="auto"/>
              <w:jc w:val="center"/>
              <w:rPr>
                <w:rFonts w:ascii="Arial" w:eastAsia="Times New Roman" w:hAnsi="Arial" w:cs="Arial"/>
                <w:b/>
                <w:i/>
                <w:color w:val="000000"/>
                <w:sz w:val="20"/>
                <w:szCs w:val="20"/>
                <w:lang w:eastAsia="en-GB"/>
              </w:rPr>
            </w:pPr>
            <w:r w:rsidRPr="00037267">
              <w:rPr>
                <w:rFonts w:ascii="Arial" w:eastAsia="Times New Roman" w:hAnsi="Arial" w:cs="Arial"/>
                <w:b/>
                <w:i/>
                <w:color w:val="000000"/>
                <w:sz w:val="20"/>
                <w:szCs w:val="20"/>
                <w:lang w:eastAsia="en-GB"/>
              </w:rPr>
              <w:t>Surgery Total</w:t>
            </w:r>
          </w:p>
        </w:tc>
        <w:tc>
          <w:tcPr>
            <w:tcW w:w="2267" w:type="dxa"/>
            <w:tcBorders>
              <w:top w:val="single" w:sz="6" w:space="0" w:color="auto"/>
              <w:left w:val="single" w:sz="8" w:space="0" w:color="auto"/>
              <w:bottom w:val="single" w:sz="4" w:space="0" w:color="auto"/>
              <w:right w:val="single" w:sz="18" w:space="0" w:color="auto"/>
            </w:tcBorders>
            <w:shd w:val="clear" w:color="auto" w:fill="4472C4" w:themeFill="accent1"/>
            <w:noWrap/>
          </w:tcPr>
          <w:p w14:paraId="72001F2B" w14:textId="4B6FFA8D"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5.6</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9B8B713" w14:textId="6E858C37"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3.0</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E541086" w14:textId="690313C0"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8.6</w:t>
            </w:r>
          </w:p>
        </w:tc>
      </w:tr>
      <w:tr w:rsidR="007C77D1" w:rsidRPr="00037267" w14:paraId="21520383"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hideMark/>
          </w:tcPr>
          <w:p w14:paraId="132E6BB3"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Fleming Ward</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6E6613B" w14:textId="4F7E9761"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3.7</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F2CFEE7" w14:textId="0DBC9521" w:rsidR="007C77D1" w:rsidRPr="00037267" w:rsidRDefault="007C77D1" w:rsidP="007C77D1">
            <w:pPr>
              <w:spacing w:after="0"/>
              <w:jc w:val="center"/>
              <w:rPr>
                <w:rFonts w:ascii="Arial" w:eastAsia="Times New Roman" w:hAnsi="Arial" w:cs="Arial"/>
                <w:color w:val="000000"/>
                <w:sz w:val="20"/>
                <w:szCs w:val="20"/>
                <w:lang w:eastAsia="en-GB"/>
              </w:rPr>
            </w:pPr>
            <w:r w:rsidRPr="00037267">
              <w:rPr>
                <w:rFonts w:ascii="Arial" w:hAnsi="Arial" w:cs="Arial"/>
                <w:sz w:val="20"/>
                <w:szCs w:val="20"/>
              </w:rPr>
              <w:t>2.1</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7C3BE876" w14:textId="3FE074D4" w:rsidR="007C77D1" w:rsidRPr="00037267" w:rsidRDefault="007C77D1" w:rsidP="007C77D1">
            <w:pPr>
              <w:spacing w:after="0"/>
              <w:jc w:val="center"/>
              <w:rPr>
                <w:rFonts w:ascii="Arial" w:eastAsia="Times New Roman" w:hAnsi="Arial" w:cs="Arial"/>
                <w:color w:val="000000"/>
                <w:sz w:val="20"/>
                <w:szCs w:val="20"/>
                <w:lang w:eastAsia="en-GB"/>
              </w:rPr>
            </w:pPr>
            <w:r w:rsidRPr="00037267">
              <w:rPr>
                <w:rFonts w:ascii="Arial" w:hAnsi="Arial" w:cs="Arial"/>
                <w:sz w:val="20"/>
                <w:szCs w:val="20"/>
              </w:rPr>
              <w:t>5.7</w:t>
            </w:r>
          </w:p>
        </w:tc>
      </w:tr>
      <w:tr w:rsidR="007C77D1" w:rsidRPr="00037267" w14:paraId="60DB2281"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625D69D1"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Harold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4B15DBA" w14:textId="04B5C63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4.6</w:t>
            </w:r>
          </w:p>
        </w:tc>
        <w:tc>
          <w:tcPr>
            <w:tcW w:w="2267" w:type="dxa"/>
            <w:tcBorders>
              <w:top w:val="nil"/>
              <w:left w:val="single" w:sz="18" w:space="0" w:color="000000"/>
              <w:bottom w:val="single" w:sz="4" w:space="0" w:color="auto"/>
              <w:right w:val="single" w:sz="18" w:space="0" w:color="000000"/>
            </w:tcBorders>
            <w:shd w:val="clear" w:color="000000" w:fill="D9D9D9"/>
            <w:noWrap/>
          </w:tcPr>
          <w:p w14:paraId="13658A81" w14:textId="2CA2E5F9"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2.4</w:t>
            </w:r>
          </w:p>
        </w:tc>
        <w:tc>
          <w:tcPr>
            <w:tcW w:w="2267" w:type="dxa"/>
            <w:tcBorders>
              <w:top w:val="nil"/>
              <w:left w:val="single" w:sz="18" w:space="0" w:color="000000"/>
              <w:bottom w:val="single" w:sz="4" w:space="0" w:color="auto"/>
              <w:right w:val="single" w:sz="18" w:space="0" w:color="000000"/>
            </w:tcBorders>
            <w:shd w:val="clear" w:color="000000" w:fill="D0CECE"/>
            <w:noWrap/>
          </w:tcPr>
          <w:p w14:paraId="397F39DA" w14:textId="1473B31A"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7.0</w:t>
            </w:r>
          </w:p>
        </w:tc>
      </w:tr>
      <w:tr w:rsidR="007C77D1" w:rsidRPr="00037267" w14:paraId="74A4FA7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1C7A58D"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Kingsmoor General</w:t>
            </w:r>
          </w:p>
        </w:tc>
        <w:tc>
          <w:tcPr>
            <w:tcW w:w="2267" w:type="dxa"/>
            <w:tcBorders>
              <w:top w:val="nil"/>
              <w:left w:val="single" w:sz="18" w:space="0" w:color="000000"/>
              <w:bottom w:val="single" w:sz="4" w:space="0" w:color="auto"/>
              <w:right w:val="single" w:sz="18" w:space="0" w:color="000000"/>
            </w:tcBorders>
            <w:shd w:val="clear" w:color="000000" w:fill="D9D9D9"/>
            <w:noWrap/>
          </w:tcPr>
          <w:p w14:paraId="7326E145" w14:textId="6D0E090C"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359D061C" w14:textId="552136E2"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64002554" w14:textId="12F3D151"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6.6</w:t>
            </w:r>
          </w:p>
        </w:tc>
      </w:tr>
      <w:tr w:rsidR="007C77D1" w:rsidRPr="00037267" w14:paraId="65BDB20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8292667"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Lister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5DB33DC5" w14:textId="7686F1A3"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4.0</w:t>
            </w:r>
          </w:p>
        </w:tc>
        <w:tc>
          <w:tcPr>
            <w:tcW w:w="2267" w:type="dxa"/>
            <w:tcBorders>
              <w:top w:val="nil"/>
              <w:left w:val="single" w:sz="18" w:space="0" w:color="000000"/>
              <w:bottom w:val="single" w:sz="4" w:space="0" w:color="auto"/>
              <w:right w:val="single" w:sz="18" w:space="0" w:color="000000"/>
            </w:tcBorders>
            <w:shd w:val="clear" w:color="000000" w:fill="D9D9D9"/>
            <w:noWrap/>
          </w:tcPr>
          <w:p w14:paraId="40558E40" w14:textId="0262480A"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2D3F055E" w14:textId="30CAB699"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7.0</w:t>
            </w:r>
          </w:p>
        </w:tc>
      </w:tr>
      <w:tr w:rsidR="007C77D1" w:rsidRPr="00037267" w14:paraId="40D325F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9629573"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Locke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0C2263" w14:textId="06784591"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6A8FFFFC" w14:textId="6F1F37A1"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3.1</w:t>
            </w:r>
          </w:p>
        </w:tc>
        <w:tc>
          <w:tcPr>
            <w:tcW w:w="2267" w:type="dxa"/>
            <w:tcBorders>
              <w:top w:val="nil"/>
              <w:left w:val="single" w:sz="18" w:space="0" w:color="000000"/>
              <w:bottom w:val="single" w:sz="4" w:space="0" w:color="auto"/>
              <w:right w:val="single" w:sz="18" w:space="0" w:color="000000"/>
            </w:tcBorders>
            <w:shd w:val="clear" w:color="000000" w:fill="D0CECE"/>
            <w:noWrap/>
          </w:tcPr>
          <w:p w14:paraId="315C6673" w14:textId="4AE390B1"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6.7</w:t>
            </w:r>
          </w:p>
        </w:tc>
      </w:tr>
      <w:tr w:rsidR="007C77D1" w:rsidRPr="00037267" w14:paraId="06C21062"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F63520F"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Nightingale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04FFC8B" w14:textId="0D3A96A9"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379813F9" w14:textId="2BC8435D"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60430921" w14:textId="23F950D8"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6.6</w:t>
            </w:r>
          </w:p>
        </w:tc>
      </w:tr>
      <w:tr w:rsidR="007C77D1" w:rsidRPr="00037267" w14:paraId="3513A7D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DFB2776"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Opal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0725CBFD" w14:textId="2AEBA6D2"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4.4</w:t>
            </w:r>
          </w:p>
        </w:tc>
        <w:tc>
          <w:tcPr>
            <w:tcW w:w="2267" w:type="dxa"/>
            <w:tcBorders>
              <w:top w:val="nil"/>
              <w:left w:val="single" w:sz="18" w:space="0" w:color="000000"/>
              <w:bottom w:val="single" w:sz="4" w:space="0" w:color="auto"/>
              <w:right w:val="single" w:sz="18" w:space="0" w:color="000000"/>
            </w:tcBorders>
            <w:shd w:val="clear" w:color="000000" w:fill="D9D9D9"/>
            <w:noWrap/>
          </w:tcPr>
          <w:p w14:paraId="500F4E86" w14:textId="106477C8"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4.1</w:t>
            </w:r>
          </w:p>
        </w:tc>
        <w:tc>
          <w:tcPr>
            <w:tcW w:w="2267" w:type="dxa"/>
            <w:tcBorders>
              <w:top w:val="nil"/>
              <w:left w:val="single" w:sz="18" w:space="0" w:color="000000"/>
              <w:bottom w:val="single" w:sz="4" w:space="0" w:color="auto"/>
              <w:right w:val="single" w:sz="18" w:space="0" w:color="000000"/>
            </w:tcBorders>
            <w:shd w:val="clear" w:color="000000" w:fill="D0CECE"/>
            <w:noWrap/>
          </w:tcPr>
          <w:p w14:paraId="76444B8F" w14:textId="2471E288"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8.5</w:t>
            </w:r>
          </w:p>
        </w:tc>
      </w:tr>
      <w:tr w:rsidR="007C77D1" w:rsidRPr="00037267" w14:paraId="76E157C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4E1A6C05"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Ray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6AEED41" w14:textId="320CFC22"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5FD0D6F7" w14:textId="7D4D974D"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2.5</w:t>
            </w:r>
          </w:p>
        </w:tc>
        <w:tc>
          <w:tcPr>
            <w:tcW w:w="2267" w:type="dxa"/>
            <w:tcBorders>
              <w:top w:val="nil"/>
              <w:left w:val="single" w:sz="18" w:space="0" w:color="000000"/>
              <w:bottom w:val="single" w:sz="4" w:space="0" w:color="auto"/>
              <w:right w:val="single" w:sz="18" w:space="0" w:color="000000"/>
            </w:tcBorders>
            <w:shd w:val="clear" w:color="000000" w:fill="D0CECE"/>
            <w:noWrap/>
          </w:tcPr>
          <w:p w14:paraId="69D3A156" w14:textId="6B4D7C2D"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6.3</w:t>
            </w:r>
          </w:p>
        </w:tc>
      </w:tr>
      <w:tr w:rsidR="007C77D1" w:rsidRPr="00037267" w14:paraId="269445CE"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DF05617"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Tye Green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48237537" w14:textId="5865AF13"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1354960D" w14:textId="5035717A"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0CECE"/>
            <w:noWrap/>
          </w:tcPr>
          <w:p w14:paraId="2F0D26BF" w14:textId="54B3C854"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7.3</w:t>
            </w:r>
          </w:p>
        </w:tc>
      </w:tr>
      <w:tr w:rsidR="007C77D1" w:rsidRPr="00037267" w14:paraId="3CC586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2146B034"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Winter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FE26F7E" w14:textId="2FF8B383"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3.6</w:t>
            </w:r>
          </w:p>
        </w:tc>
        <w:tc>
          <w:tcPr>
            <w:tcW w:w="2267" w:type="dxa"/>
            <w:tcBorders>
              <w:top w:val="nil"/>
              <w:left w:val="single" w:sz="18" w:space="0" w:color="000000"/>
              <w:bottom w:val="single" w:sz="4" w:space="0" w:color="auto"/>
              <w:right w:val="single" w:sz="18" w:space="0" w:color="000000"/>
            </w:tcBorders>
            <w:shd w:val="clear" w:color="000000" w:fill="D9D9D9"/>
            <w:noWrap/>
          </w:tcPr>
          <w:p w14:paraId="1CDBFBE2" w14:textId="1BD3E4EB"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3E5ACF0A" w14:textId="013C2BE2"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7.0</w:t>
            </w:r>
          </w:p>
        </w:tc>
      </w:tr>
      <w:tr w:rsidR="007C77D1" w:rsidRPr="00037267" w14:paraId="486A30B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00C4D9FB" w14:textId="77777777" w:rsidR="007C77D1" w:rsidRPr="00037267" w:rsidRDefault="007C77D1" w:rsidP="007C77D1">
            <w:pPr>
              <w:spacing w:after="0" w:line="240" w:lineRule="auto"/>
              <w:jc w:val="center"/>
              <w:rPr>
                <w:rFonts w:ascii="Arial" w:eastAsia="Times New Roman" w:hAnsi="Arial" w:cs="Arial"/>
                <w:b/>
                <w:i/>
                <w:color w:val="000000"/>
                <w:sz w:val="20"/>
                <w:szCs w:val="20"/>
                <w:lang w:eastAsia="en-GB"/>
              </w:rPr>
            </w:pPr>
            <w:r w:rsidRPr="00037267">
              <w:rPr>
                <w:rFonts w:ascii="Arial" w:eastAsia="Times New Roman" w:hAnsi="Arial" w:cs="Arial"/>
                <w:b/>
                <w:i/>
                <w:color w:val="000000"/>
                <w:sz w:val="20"/>
                <w:szCs w:val="20"/>
                <w:lang w:eastAsia="en-GB"/>
              </w:rPr>
              <w:t>Medicine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AEB15A1" w14:textId="421B73BD"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3.9</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7A971BE" w14:textId="0F111BAA"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3.0</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A7D6A77" w14:textId="3F74DF26" w:rsidR="007C77D1" w:rsidRPr="00037267" w:rsidRDefault="007C77D1" w:rsidP="007C77D1">
            <w:pPr>
              <w:spacing w:after="0" w:line="240" w:lineRule="auto"/>
              <w:jc w:val="center"/>
              <w:rPr>
                <w:rFonts w:ascii="Arial" w:eastAsia="Times New Roman" w:hAnsi="Arial" w:cs="Arial"/>
                <w:b/>
                <w:bCs/>
                <w:i/>
                <w:iCs/>
                <w:color w:val="000000"/>
                <w:sz w:val="20"/>
                <w:szCs w:val="20"/>
                <w:lang w:eastAsia="en-GB"/>
              </w:rPr>
            </w:pPr>
            <w:r w:rsidRPr="00037267">
              <w:rPr>
                <w:rFonts w:ascii="Arial" w:hAnsi="Arial" w:cs="Arial"/>
                <w:b/>
                <w:bCs/>
                <w:sz w:val="20"/>
                <w:szCs w:val="20"/>
              </w:rPr>
              <w:t>6.8</w:t>
            </w:r>
          </w:p>
        </w:tc>
      </w:tr>
      <w:tr w:rsidR="007C77D1" w:rsidRPr="00037267" w14:paraId="65F14C49"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tcPr>
          <w:p w14:paraId="2CDAF1DC" w14:textId="77777777" w:rsidR="007C77D1" w:rsidRPr="00037267" w:rsidRDefault="007C77D1" w:rsidP="007C77D1">
            <w:pPr>
              <w:spacing w:after="0" w:line="240" w:lineRule="auto"/>
              <w:jc w:val="center"/>
              <w:rPr>
                <w:rFonts w:ascii="Arial" w:eastAsia="Times New Roman" w:hAnsi="Arial" w:cs="Arial"/>
                <w:b/>
                <w:color w:val="000000"/>
                <w:sz w:val="20"/>
                <w:szCs w:val="20"/>
                <w:lang w:eastAsia="en-GB"/>
              </w:rPr>
            </w:pPr>
            <w:r w:rsidRPr="00037267">
              <w:rPr>
                <w:rFonts w:ascii="Arial" w:eastAsia="Times New Roman" w:hAnsi="Arial" w:cs="Arial"/>
                <w:color w:val="000000"/>
                <w:sz w:val="20"/>
                <w:szCs w:val="20"/>
                <w:lang w:eastAsia="en-GB"/>
              </w:rPr>
              <w:t>AAU</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67D4C8D" w14:textId="6F37FBA4"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6.2</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FEEAFEF" w14:textId="78B27239"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2.5</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2E0678D" w14:textId="30C7EE3A"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8.7</w:t>
            </w:r>
          </w:p>
        </w:tc>
      </w:tr>
      <w:tr w:rsidR="007C77D1" w:rsidRPr="00037267" w14:paraId="1887B3E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tcPr>
          <w:p w14:paraId="750871F8" w14:textId="77777777" w:rsidR="007C77D1" w:rsidRPr="00037267" w:rsidRDefault="007C77D1" w:rsidP="007C77D1">
            <w:pPr>
              <w:spacing w:after="0" w:line="240" w:lineRule="auto"/>
              <w:jc w:val="center"/>
              <w:rPr>
                <w:rFonts w:ascii="Arial" w:eastAsia="Times New Roman" w:hAnsi="Arial" w:cs="Arial"/>
                <w:b/>
                <w:color w:val="000000"/>
                <w:sz w:val="20"/>
                <w:szCs w:val="20"/>
                <w:lang w:eastAsia="en-GB"/>
              </w:rPr>
            </w:pPr>
            <w:r w:rsidRPr="00037267">
              <w:rPr>
                <w:rFonts w:ascii="Arial" w:eastAsia="Times New Roman" w:hAnsi="Arial" w:cs="Arial"/>
                <w:color w:val="000000"/>
                <w:sz w:val="20"/>
                <w:szCs w:val="20"/>
                <w:lang w:eastAsia="en-GB"/>
              </w:rPr>
              <w:t>Charnley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6009350C" w14:textId="1EE6B40B"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4.1</w:t>
            </w:r>
          </w:p>
        </w:tc>
        <w:tc>
          <w:tcPr>
            <w:tcW w:w="2267" w:type="dxa"/>
            <w:tcBorders>
              <w:top w:val="nil"/>
              <w:left w:val="single" w:sz="18" w:space="0" w:color="000000"/>
              <w:bottom w:val="single" w:sz="4" w:space="0" w:color="auto"/>
              <w:right w:val="single" w:sz="18" w:space="0" w:color="000000"/>
            </w:tcBorders>
            <w:shd w:val="clear" w:color="000000" w:fill="D9D9D9"/>
            <w:noWrap/>
          </w:tcPr>
          <w:p w14:paraId="5C44F43C" w14:textId="733960A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2.6</w:t>
            </w:r>
          </w:p>
        </w:tc>
        <w:tc>
          <w:tcPr>
            <w:tcW w:w="2267" w:type="dxa"/>
            <w:tcBorders>
              <w:top w:val="nil"/>
              <w:left w:val="single" w:sz="18" w:space="0" w:color="000000"/>
              <w:bottom w:val="single" w:sz="4" w:space="0" w:color="auto"/>
              <w:right w:val="single" w:sz="18" w:space="0" w:color="000000"/>
            </w:tcBorders>
            <w:shd w:val="clear" w:color="000000" w:fill="D0CECE"/>
            <w:noWrap/>
          </w:tcPr>
          <w:p w14:paraId="5C5A8AB2" w14:textId="695E210D"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6.7</w:t>
            </w:r>
          </w:p>
        </w:tc>
      </w:tr>
      <w:tr w:rsidR="007C77D1" w:rsidRPr="00037267" w14:paraId="78176A35"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tcPr>
          <w:p w14:paraId="290D1AE1" w14:textId="77777777" w:rsidR="007C77D1" w:rsidRPr="00037267" w:rsidRDefault="007C77D1" w:rsidP="007C77D1">
            <w:pPr>
              <w:spacing w:after="0" w:line="240" w:lineRule="auto"/>
              <w:jc w:val="center"/>
              <w:rPr>
                <w:rFonts w:ascii="Arial" w:eastAsia="Times New Roman" w:hAnsi="Arial" w:cs="Arial"/>
                <w:b/>
                <w:i/>
                <w:color w:val="000000"/>
                <w:sz w:val="20"/>
                <w:szCs w:val="20"/>
                <w:lang w:eastAsia="en-GB"/>
              </w:rPr>
            </w:pPr>
            <w:r w:rsidRPr="00037267">
              <w:rPr>
                <w:rFonts w:ascii="Arial" w:eastAsia="Times New Roman" w:hAnsi="Arial" w:cs="Arial"/>
                <w:b/>
                <w:i/>
                <w:color w:val="000000"/>
                <w:sz w:val="20"/>
                <w:szCs w:val="20"/>
                <w:lang w:eastAsia="en-GB"/>
              </w:rPr>
              <w:t>UEC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6CCF689" w14:textId="51B6C7CD"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5.2</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301AECF1" w14:textId="050BABF8"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2.6</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400A71B" w14:textId="0CB2707D"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7.7</w:t>
            </w:r>
          </w:p>
        </w:tc>
      </w:tr>
      <w:tr w:rsidR="007C77D1" w:rsidRPr="00037267" w14:paraId="3E9B03F5"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bottom"/>
          </w:tcPr>
          <w:p w14:paraId="35526452"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Birthing Unit</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4DF7B60" w14:textId="64836CA7" w:rsidR="007C77D1" w:rsidRPr="00037267" w:rsidRDefault="007C77D1" w:rsidP="007C77D1">
            <w:pPr>
              <w:spacing w:after="0" w:line="240" w:lineRule="auto"/>
              <w:jc w:val="center"/>
              <w:rPr>
                <w:rFonts w:ascii="Arial" w:hAnsi="Arial" w:cs="Arial"/>
                <w:sz w:val="20"/>
                <w:szCs w:val="20"/>
              </w:rPr>
            </w:pPr>
            <w:r w:rsidRPr="00037267">
              <w:rPr>
                <w:rFonts w:ascii="Arial" w:hAnsi="Arial" w:cs="Arial"/>
                <w:sz w:val="20"/>
                <w:szCs w:val="20"/>
              </w:rPr>
              <w:t>12.5</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C8CE6B1" w14:textId="20DCED0F"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6.1</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447B05D1" w14:textId="66438EE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18.6</w:t>
            </w:r>
          </w:p>
        </w:tc>
      </w:tr>
      <w:tr w:rsidR="007C77D1" w:rsidRPr="00037267" w14:paraId="5C08FD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BF3B075"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Chamberlen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2EC56C45" w14:textId="7EA86AA3"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6.3</w:t>
            </w:r>
          </w:p>
        </w:tc>
        <w:tc>
          <w:tcPr>
            <w:tcW w:w="2267" w:type="dxa"/>
            <w:tcBorders>
              <w:top w:val="nil"/>
              <w:left w:val="single" w:sz="18" w:space="0" w:color="000000"/>
              <w:bottom w:val="single" w:sz="4" w:space="0" w:color="auto"/>
              <w:right w:val="single" w:sz="18" w:space="0" w:color="000000"/>
            </w:tcBorders>
            <w:shd w:val="clear" w:color="000000" w:fill="D9D9D9"/>
            <w:noWrap/>
          </w:tcPr>
          <w:p w14:paraId="66D75EE4" w14:textId="62DC9F0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2.1</w:t>
            </w:r>
          </w:p>
        </w:tc>
        <w:tc>
          <w:tcPr>
            <w:tcW w:w="2267" w:type="dxa"/>
            <w:tcBorders>
              <w:top w:val="nil"/>
              <w:left w:val="single" w:sz="18" w:space="0" w:color="000000"/>
              <w:bottom w:val="single" w:sz="4" w:space="0" w:color="auto"/>
              <w:right w:val="single" w:sz="18" w:space="0" w:color="000000"/>
            </w:tcBorders>
            <w:shd w:val="clear" w:color="000000" w:fill="D0CECE"/>
            <w:noWrap/>
          </w:tcPr>
          <w:p w14:paraId="6F604A22" w14:textId="7B7B355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8.5</w:t>
            </w:r>
          </w:p>
        </w:tc>
      </w:tr>
      <w:tr w:rsidR="007C77D1" w:rsidRPr="00037267" w14:paraId="1906128F"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FF1065D"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Dolphin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3C8DFDD8" w14:textId="1DBBE6B2"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8.8</w:t>
            </w:r>
          </w:p>
        </w:tc>
        <w:tc>
          <w:tcPr>
            <w:tcW w:w="2267" w:type="dxa"/>
            <w:tcBorders>
              <w:top w:val="nil"/>
              <w:left w:val="single" w:sz="18" w:space="0" w:color="000000"/>
              <w:bottom w:val="single" w:sz="4" w:space="0" w:color="auto"/>
              <w:right w:val="single" w:sz="18" w:space="0" w:color="000000"/>
            </w:tcBorders>
            <w:shd w:val="clear" w:color="000000" w:fill="D9D9D9"/>
            <w:noWrap/>
          </w:tcPr>
          <w:p w14:paraId="2E501C10" w14:textId="7F5CA59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2.8</w:t>
            </w:r>
          </w:p>
        </w:tc>
        <w:tc>
          <w:tcPr>
            <w:tcW w:w="2267" w:type="dxa"/>
            <w:tcBorders>
              <w:top w:val="nil"/>
              <w:left w:val="single" w:sz="18" w:space="0" w:color="000000"/>
              <w:bottom w:val="single" w:sz="4" w:space="0" w:color="auto"/>
              <w:right w:val="single" w:sz="18" w:space="0" w:color="000000"/>
            </w:tcBorders>
            <w:shd w:val="clear" w:color="000000" w:fill="D0CECE"/>
            <w:noWrap/>
          </w:tcPr>
          <w:p w14:paraId="52516E6C" w14:textId="15FDEFBF"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11.5</w:t>
            </w:r>
          </w:p>
        </w:tc>
      </w:tr>
      <w:tr w:rsidR="007C77D1" w:rsidRPr="00037267" w14:paraId="29010159"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1902ABF4"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Labour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168B655E" w14:textId="29250CFC"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22.1</w:t>
            </w:r>
          </w:p>
        </w:tc>
        <w:tc>
          <w:tcPr>
            <w:tcW w:w="2267" w:type="dxa"/>
            <w:tcBorders>
              <w:top w:val="nil"/>
              <w:left w:val="single" w:sz="18" w:space="0" w:color="000000"/>
              <w:bottom w:val="single" w:sz="4" w:space="0" w:color="auto"/>
              <w:right w:val="single" w:sz="18" w:space="0" w:color="000000"/>
            </w:tcBorders>
            <w:shd w:val="clear" w:color="000000" w:fill="D9D9D9"/>
            <w:noWrap/>
          </w:tcPr>
          <w:p w14:paraId="7CBC83B0" w14:textId="1B9F7E1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5.5</w:t>
            </w:r>
          </w:p>
        </w:tc>
        <w:tc>
          <w:tcPr>
            <w:tcW w:w="2267" w:type="dxa"/>
            <w:tcBorders>
              <w:top w:val="nil"/>
              <w:left w:val="single" w:sz="18" w:space="0" w:color="000000"/>
              <w:bottom w:val="single" w:sz="4" w:space="0" w:color="auto"/>
              <w:right w:val="single" w:sz="18" w:space="0" w:color="000000"/>
            </w:tcBorders>
            <w:shd w:val="clear" w:color="000000" w:fill="D0CECE"/>
            <w:noWrap/>
          </w:tcPr>
          <w:p w14:paraId="6714EE25" w14:textId="2084004E"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27.6</w:t>
            </w:r>
          </w:p>
        </w:tc>
      </w:tr>
      <w:tr w:rsidR="007C77D1" w:rsidRPr="00037267" w14:paraId="720C9B3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269D6922"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Neo-Natal Unit</w:t>
            </w:r>
          </w:p>
        </w:tc>
        <w:tc>
          <w:tcPr>
            <w:tcW w:w="2267" w:type="dxa"/>
            <w:tcBorders>
              <w:top w:val="nil"/>
              <w:left w:val="single" w:sz="18" w:space="0" w:color="000000"/>
              <w:bottom w:val="single" w:sz="4" w:space="0" w:color="auto"/>
              <w:right w:val="single" w:sz="18" w:space="0" w:color="000000"/>
            </w:tcBorders>
            <w:shd w:val="clear" w:color="000000" w:fill="D9D9D9"/>
            <w:noWrap/>
          </w:tcPr>
          <w:p w14:paraId="7FD700DC" w14:textId="110FA9B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11.6</w:t>
            </w:r>
          </w:p>
        </w:tc>
        <w:tc>
          <w:tcPr>
            <w:tcW w:w="2267" w:type="dxa"/>
            <w:tcBorders>
              <w:top w:val="nil"/>
              <w:left w:val="single" w:sz="18" w:space="0" w:color="000000"/>
              <w:bottom w:val="single" w:sz="4" w:space="0" w:color="auto"/>
              <w:right w:val="single" w:sz="18" w:space="0" w:color="000000"/>
            </w:tcBorders>
            <w:shd w:val="clear" w:color="000000" w:fill="D9D9D9"/>
            <w:noWrap/>
          </w:tcPr>
          <w:p w14:paraId="7648EB02" w14:textId="54E8D860"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1.9</w:t>
            </w:r>
          </w:p>
        </w:tc>
        <w:tc>
          <w:tcPr>
            <w:tcW w:w="2267" w:type="dxa"/>
            <w:tcBorders>
              <w:top w:val="nil"/>
              <w:left w:val="single" w:sz="18" w:space="0" w:color="000000"/>
              <w:bottom w:val="single" w:sz="4" w:space="0" w:color="auto"/>
              <w:right w:val="single" w:sz="18" w:space="0" w:color="000000"/>
            </w:tcBorders>
            <w:shd w:val="clear" w:color="000000" w:fill="D0CECE"/>
            <w:noWrap/>
          </w:tcPr>
          <w:p w14:paraId="666CABED" w14:textId="3A5E1538"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13.5</w:t>
            </w:r>
          </w:p>
        </w:tc>
      </w:tr>
      <w:tr w:rsidR="007C77D1" w:rsidRPr="00037267" w14:paraId="41C615CD"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68AB209C" w14:textId="77777777" w:rsidR="007C77D1" w:rsidRPr="00037267" w:rsidRDefault="007C77D1" w:rsidP="007C77D1">
            <w:pPr>
              <w:spacing w:after="0" w:line="240" w:lineRule="auto"/>
              <w:jc w:val="center"/>
              <w:rPr>
                <w:rFonts w:ascii="Arial" w:eastAsia="Times New Roman" w:hAnsi="Arial" w:cs="Arial"/>
                <w:color w:val="000000"/>
                <w:sz w:val="20"/>
                <w:szCs w:val="20"/>
                <w:lang w:eastAsia="en-GB"/>
              </w:rPr>
            </w:pPr>
            <w:r w:rsidRPr="00037267">
              <w:rPr>
                <w:rFonts w:ascii="Arial" w:hAnsi="Arial" w:cs="Arial"/>
                <w:sz w:val="20"/>
                <w:szCs w:val="20"/>
              </w:rPr>
              <w:t>Samson Ward</w:t>
            </w:r>
          </w:p>
        </w:tc>
        <w:tc>
          <w:tcPr>
            <w:tcW w:w="2267" w:type="dxa"/>
            <w:tcBorders>
              <w:top w:val="nil"/>
              <w:left w:val="single" w:sz="18" w:space="0" w:color="000000"/>
              <w:bottom w:val="single" w:sz="4" w:space="0" w:color="auto"/>
              <w:right w:val="single" w:sz="18" w:space="0" w:color="000000"/>
            </w:tcBorders>
            <w:shd w:val="clear" w:color="000000" w:fill="D9D9D9"/>
            <w:noWrap/>
          </w:tcPr>
          <w:p w14:paraId="080EF14B" w14:textId="0EC90F74"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2.7</w:t>
            </w:r>
          </w:p>
        </w:tc>
        <w:tc>
          <w:tcPr>
            <w:tcW w:w="2267" w:type="dxa"/>
            <w:tcBorders>
              <w:top w:val="nil"/>
              <w:left w:val="single" w:sz="18" w:space="0" w:color="000000"/>
              <w:bottom w:val="single" w:sz="4" w:space="0" w:color="auto"/>
              <w:right w:val="single" w:sz="18" w:space="0" w:color="000000"/>
            </w:tcBorders>
            <w:shd w:val="clear" w:color="000000" w:fill="D9D9D9"/>
            <w:noWrap/>
          </w:tcPr>
          <w:p w14:paraId="404B7DF2" w14:textId="2BBAC911"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2B2B937E" w14:textId="6C3805BA" w:rsidR="007C77D1" w:rsidRPr="00037267" w:rsidRDefault="007C77D1" w:rsidP="007C77D1">
            <w:pPr>
              <w:spacing w:after="0"/>
              <w:jc w:val="center"/>
              <w:rPr>
                <w:rFonts w:ascii="Arial" w:hAnsi="Arial" w:cs="Arial"/>
                <w:sz w:val="20"/>
                <w:szCs w:val="20"/>
              </w:rPr>
            </w:pPr>
            <w:r w:rsidRPr="00037267">
              <w:rPr>
                <w:rFonts w:ascii="Arial" w:hAnsi="Arial" w:cs="Arial"/>
                <w:sz w:val="20"/>
                <w:szCs w:val="20"/>
              </w:rPr>
              <w:t>6.1</w:t>
            </w:r>
          </w:p>
        </w:tc>
      </w:tr>
      <w:tr w:rsidR="007C77D1" w:rsidRPr="00037267" w14:paraId="4A9F7B39"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673F28D2" w14:textId="77777777" w:rsidR="007C77D1" w:rsidRPr="00037267" w:rsidRDefault="007C77D1" w:rsidP="007C77D1">
            <w:pPr>
              <w:spacing w:after="0" w:line="240" w:lineRule="auto"/>
              <w:jc w:val="center"/>
              <w:rPr>
                <w:rFonts w:ascii="Arial" w:eastAsia="Times New Roman" w:hAnsi="Arial" w:cs="Arial"/>
                <w:b/>
                <w:i/>
                <w:color w:val="000000"/>
                <w:sz w:val="20"/>
                <w:szCs w:val="20"/>
                <w:lang w:eastAsia="en-GB"/>
              </w:rPr>
            </w:pPr>
            <w:r w:rsidRPr="00037267">
              <w:rPr>
                <w:rFonts w:ascii="Arial" w:eastAsia="Times New Roman" w:hAnsi="Arial" w:cs="Arial"/>
                <w:b/>
                <w:i/>
                <w:color w:val="000000"/>
                <w:sz w:val="20"/>
                <w:szCs w:val="20"/>
                <w:lang w:eastAsia="en-GB"/>
              </w:rPr>
              <w:t>CHAWS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D0DE7D6" w14:textId="5BCCFD60"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8.1</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983FDFF" w14:textId="2F2632D5"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3.2</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7B3DFD9" w14:textId="22678C95" w:rsidR="007C77D1" w:rsidRPr="00037267" w:rsidRDefault="007C77D1" w:rsidP="007C77D1">
            <w:pPr>
              <w:spacing w:after="0" w:line="240" w:lineRule="auto"/>
              <w:jc w:val="center"/>
              <w:rPr>
                <w:rFonts w:ascii="Arial" w:eastAsia="Times New Roman" w:hAnsi="Arial" w:cs="Arial"/>
                <w:b/>
                <w:bCs/>
                <w:i/>
                <w:color w:val="000000"/>
                <w:sz w:val="20"/>
                <w:szCs w:val="20"/>
                <w:lang w:eastAsia="en-GB"/>
              </w:rPr>
            </w:pPr>
            <w:r w:rsidRPr="00037267">
              <w:rPr>
                <w:rFonts w:ascii="Arial" w:hAnsi="Arial" w:cs="Arial"/>
                <w:b/>
                <w:bCs/>
                <w:sz w:val="20"/>
                <w:szCs w:val="20"/>
              </w:rPr>
              <w:t>11.4</w:t>
            </w:r>
          </w:p>
        </w:tc>
      </w:tr>
    </w:tbl>
    <w:p w14:paraId="05489BC5" w14:textId="77777777" w:rsidR="00B54181" w:rsidRPr="00037267" w:rsidRDefault="00B54181" w:rsidP="00971145">
      <w:pPr>
        <w:spacing w:after="0" w:line="240" w:lineRule="auto"/>
        <w:rPr>
          <w:rFonts w:ascii="Arial" w:eastAsia="Times New Roman" w:hAnsi="Arial" w:cs="Arial"/>
          <w:b/>
          <w:i/>
          <w:color w:val="000000"/>
          <w:lang w:eastAsia="en-GB"/>
        </w:rPr>
      </w:pPr>
    </w:p>
    <w:p w14:paraId="10F7D42C" w14:textId="77777777" w:rsidR="00A67E61" w:rsidRPr="00037267" w:rsidRDefault="00A67E61" w:rsidP="00971145">
      <w:pPr>
        <w:spacing w:after="0" w:line="240" w:lineRule="auto"/>
        <w:rPr>
          <w:rFonts w:ascii="Arial" w:eastAsia="Times New Roman" w:hAnsi="Arial" w:cs="Arial"/>
          <w:b/>
          <w:color w:val="005EB8"/>
          <w:lang w:eastAsia="en-GB"/>
        </w:rPr>
      </w:pPr>
    </w:p>
    <w:p w14:paraId="098004D4" w14:textId="77777777" w:rsidR="00037267" w:rsidRDefault="00037267" w:rsidP="00971145">
      <w:pPr>
        <w:spacing w:after="0" w:line="240" w:lineRule="auto"/>
        <w:rPr>
          <w:rFonts w:ascii="Arial" w:eastAsia="Times New Roman" w:hAnsi="Arial" w:cs="Arial"/>
          <w:b/>
          <w:color w:val="005EB8"/>
          <w:lang w:eastAsia="en-GB"/>
        </w:rPr>
      </w:pPr>
    </w:p>
    <w:p w14:paraId="20EB2A37" w14:textId="77777777" w:rsidR="002F35EC" w:rsidRDefault="002F35EC" w:rsidP="00971145">
      <w:pPr>
        <w:spacing w:after="0" w:line="240" w:lineRule="auto"/>
        <w:rPr>
          <w:rFonts w:ascii="Arial" w:eastAsia="Times New Roman" w:hAnsi="Arial" w:cs="Arial"/>
          <w:b/>
          <w:color w:val="005EB8"/>
          <w:lang w:eastAsia="en-GB"/>
        </w:rPr>
      </w:pPr>
    </w:p>
    <w:p w14:paraId="5D6D3B69" w14:textId="77777777" w:rsidR="002F35EC" w:rsidRDefault="002F35EC" w:rsidP="00971145">
      <w:pPr>
        <w:spacing w:after="0" w:line="240" w:lineRule="auto"/>
        <w:rPr>
          <w:rFonts w:ascii="Arial" w:eastAsia="Times New Roman" w:hAnsi="Arial" w:cs="Arial"/>
          <w:b/>
          <w:color w:val="005EB8"/>
          <w:lang w:eastAsia="en-GB"/>
        </w:rPr>
      </w:pPr>
    </w:p>
    <w:p w14:paraId="3A9CDFD6" w14:textId="77777777" w:rsidR="002F35EC" w:rsidRDefault="002F35EC" w:rsidP="00971145">
      <w:pPr>
        <w:spacing w:after="0" w:line="240" w:lineRule="auto"/>
        <w:rPr>
          <w:rFonts w:ascii="Arial" w:eastAsia="Times New Roman" w:hAnsi="Arial" w:cs="Arial"/>
          <w:b/>
          <w:color w:val="005EB8"/>
          <w:lang w:eastAsia="en-GB"/>
        </w:rPr>
      </w:pPr>
    </w:p>
    <w:p w14:paraId="59EB7568" w14:textId="77777777" w:rsidR="002F35EC" w:rsidRDefault="002F35EC" w:rsidP="00971145">
      <w:pPr>
        <w:spacing w:after="0" w:line="240" w:lineRule="auto"/>
        <w:rPr>
          <w:rFonts w:ascii="Arial" w:eastAsia="Times New Roman" w:hAnsi="Arial" w:cs="Arial"/>
          <w:b/>
          <w:color w:val="005EB8"/>
          <w:lang w:eastAsia="en-GB"/>
        </w:rPr>
      </w:pPr>
    </w:p>
    <w:p w14:paraId="68AE445C" w14:textId="77777777" w:rsidR="002F35EC" w:rsidRDefault="002F35EC" w:rsidP="00971145">
      <w:pPr>
        <w:spacing w:after="0" w:line="240" w:lineRule="auto"/>
        <w:rPr>
          <w:rFonts w:ascii="Arial" w:eastAsia="Times New Roman" w:hAnsi="Arial" w:cs="Arial"/>
          <w:b/>
          <w:color w:val="005EB8"/>
          <w:lang w:eastAsia="en-GB"/>
        </w:rPr>
      </w:pPr>
    </w:p>
    <w:p w14:paraId="13402A66" w14:textId="3903FA83" w:rsidR="00BF75A2" w:rsidRPr="00037267" w:rsidRDefault="00BF75A2" w:rsidP="00971145">
      <w:pPr>
        <w:spacing w:after="0" w:line="240" w:lineRule="auto"/>
        <w:rPr>
          <w:rFonts w:ascii="Arial" w:eastAsia="Times New Roman" w:hAnsi="Arial" w:cs="Arial"/>
          <w:b/>
          <w:i/>
          <w:color w:val="005EB8"/>
          <w:sz w:val="18"/>
          <w:szCs w:val="18"/>
          <w:lang w:eastAsia="en-GB"/>
        </w:rPr>
      </w:pPr>
      <w:r w:rsidRPr="00037267">
        <w:rPr>
          <w:rFonts w:ascii="Arial" w:eastAsia="Times New Roman" w:hAnsi="Arial" w:cs="Arial"/>
          <w:b/>
          <w:color w:val="005EB8"/>
          <w:lang w:eastAsia="en-GB"/>
        </w:rPr>
        <w:lastRenderedPageBreak/>
        <w:t>Appendix</w:t>
      </w:r>
      <w:r w:rsidR="00971145" w:rsidRPr="00037267">
        <w:rPr>
          <w:rFonts w:ascii="Arial" w:eastAsia="Times New Roman" w:hAnsi="Arial" w:cs="Arial"/>
          <w:b/>
          <w:color w:val="005EB8"/>
          <w:lang w:eastAsia="en-GB"/>
        </w:rPr>
        <w:t xml:space="preserve"> </w:t>
      </w:r>
      <w:r w:rsidR="003057C3" w:rsidRPr="00037267">
        <w:rPr>
          <w:rFonts w:ascii="Arial" w:eastAsia="Times New Roman" w:hAnsi="Arial" w:cs="Arial"/>
          <w:b/>
          <w:color w:val="005EB8"/>
          <w:lang w:eastAsia="en-GB"/>
        </w:rPr>
        <w:t>3</w:t>
      </w:r>
      <w:r w:rsidRPr="00037267">
        <w:rPr>
          <w:rFonts w:ascii="Arial" w:eastAsia="Times New Roman" w:hAnsi="Arial" w:cs="Arial"/>
          <w:b/>
          <w:color w:val="005EB8"/>
          <w:lang w:eastAsia="en-GB"/>
        </w:rPr>
        <w:t xml:space="preserve">. </w:t>
      </w:r>
      <w:r w:rsidR="00971145" w:rsidRPr="00037267">
        <w:rPr>
          <w:rFonts w:ascii="Arial" w:eastAsia="Times New Roman" w:hAnsi="Arial" w:cs="Arial"/>
          <w:b/>
          <w:color w:val="005EB8"/>
          <w:lang w:eastAsia="en-GB"/>
        </w:rPr>
        <w:t>Nursing Red Flags (NICE 2014)</w:t>
      </w:r>
      <w:r w:rsidR="00C27C2E" w:rsidRPr="00037267">
        <w:rPr>
          <w:rFonts w:ascii="Arial" w:eastAsia="Times New Roman" w:hAnsi="Arial" w:cs="Arial"/>
          <w:b/>
          <w:color w:val="005EB8"/>
          <w:lang w:eastAsia="en-GB"/>
        </w:rPr>
        <w:t>, Datix’s</w:t>
      </w:r>
      <w:r w:rsidR="00325EA7" w:rsidRPr="00037267">
        <w:rPr>
          <w:rFonts w:ascii="Arial" w:eastAsia="Times New Roman" w:hAnsi="Arial" w:cs="Arial"/>
          <w:b/>
          <w:i/>
          <w:color w:val="005EB8"/>
          <w:sz w:val="18"/>
          <w:szCs w:val="18"/>
          <w:lang w:eastAsia="en-GB"/>
        </w:rPr>
        <w:t xml:space="preserve"> </w:t>
      </w:r>
      <w:r w:rsidR="00325EA7" w:rsidRPr="00037267">
        <w:rPr>
          <w:rFonts w:ascii="Arial" w:eastAsia="Times New Roman" w:hAnsi="Arial" w:cs="Arial"/>
          <w:b/>
          <w:color w:val="005EB8"/>
          <w:szCs w:val="18"/>
          <w:lang w:eastAsia="en-GB"/>
        </w:rPr>
        <w:t>and trend data</w:t>
      </w:r>
    </w:p>
    <w:p w14:paraId="1FA7578F" w14:textId="77777777" w:rsidR="00C90B97" w:rsidRPr="00037267" w:rsidRDefault="00C90B97" w:rsidP="00971145">
      <w:pPr>
        <w:spacing w:after="0" w:line="240" w:lineRule="auto"/>
        <w:rPr>
          <w:rFonts w:ascii="Arial" w:hAnsi="Arial" w:cs="Arial"/>
          <w:color w:val="005EB8"/>
        </w:rPr>
      </w:pPr>
    </w:p>
    <w:p w14:paraId="71D6CDE1" w14:textId="77777777" w:rsidR="00C90B97" w:rsidRPr="00037267" w:rsidRDefault="00C90B97" w:rsidP="00971145">
      <w:pPr>
        <w:spacing w:after="0" w:line="240" w:lineRule="auto"/>
        <w:rPr>
          <w:rFonts w:ascii="Arial" w:hAnsi="Arial" w:cs="Arial"/>
          <w:color w:val="005EB8"/>
        </w:rPr>
      </w:pPr>
      <w:r w:rsidRPr="00037267">
        <w:rPr>
          <w:rFonts w:ascii="Arial" w:hAnsi="Arial" w:cs="Arial"/>
          <w:noProof/>
        </w:rPr>
        <w:drawing>
          <wp:inline distT="0" distB="0" distL="0" distR="0" wp14:anchorId="572BB343" wp14:editId="6211F2D6">
            <wp:extent cx="5111549" cy="383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6373" cy="3816509"/>
                    </a:xfrm>
                    <a:prstGeom prst="rect">
                      <a:avLst/>
                    </a:prstGeom>
                  </pic:spPr>
                </pic:pic>
              </a:graphicData>
            </a:graphic>
          </wp:inline>
        </w:drawing>
      </w:r>
    </w:p>
    <w:p w14:paraId="58A53523" w14:textId="77777777" w:rsidR="00F32360" w:rsidRPr="00037267" w:rsidRDefault="00F32360" w:rsidP="00971145">
      <w:pPr>
        <w:spacing w:after="0" w:line="240" w:lineRule="auto"/>
        <w:rPr>
          <w:rFonts w:ascii="Arial" w:hAnsi="Arial" w:cs="Arial"/>
          <w:color w:val="005EB8"/>
        </w:rPr>
      </w:pPr>
    </w:p>
    <w:p w14:paraId="54E37B06" w14:textId="19C848E8" w:rsidR="002F35EC" w:rsidRPr="00E61F19" w:rsidRDefault="002F35EC" w:rsidP="002F35EC">
      <w:pPr>
        <w:spacing w:line="240" w:lineRule="auto"/>
        <w:rPr>
          <w:rFonts w:ascii="Arial" w:hAnsi="Arial" w:cs="Arial"/>
          <w:b/>
          <w:color w:val="005EB8"/>
          <w:lang w:eastAsia="en-GB"/>
        </w:rPr>
      </w:pPr>
      <w:bookmarkStart w:id="13" w:name="_Hlk166577232"/>
      <w:r w:rsidRPr="00E61F19">
        <w:rPr>
          <w:rFonts w:ascii="Arial" w:hAnsi="Arial" w:cs="Arial"/>
          <w:b/>
          <w:color w:val="005EB8"/>
          <w:lang w:eastAsia="en-GB"/>
        </w:rPr>
        <w:t xml:space="preserve">Staffing </w:t>
      </w:r>
      <w:r>
        <w:rPr>
          <w:rFonts w:ascii="Arial" w:hAnsi="Arial" w:cs="Arial"/>
          <w:b/>
          <w:color w:val="005EB8"/>
          <w:lang w:eastAsia="en-GB"/>
        </w:rPr>
        <w:t>R</w:t>
      </w:r>
      <w:r w:rsidRPr="00E61F19">
        <w:rPr>
          <w:rFonts w:ascii="Arial" w:hAnsi="Arial" w:cs="Arial"/>
          <w:b/>
          <w:color w:val="005EB8"/>
          <w:lang w:eastAsia="en-GB"/>
        </w:rPr>
        <w:t xml:space="preserve">ed </w:t>
      </w:r>
      <w:r>
        <w:rPr>
          <w:rFonts w:ascii="Arial" w:hAnsi="Arial" w:cs="Arial"/>
          <w:b/>
          <w:color w:val="005EB8"/>
          <w:lang w:eastAsia="en-GB"/>
        </w:rPr>
        <w:t>F</w:t>
      </w:r>
      <w:r w:rsidRPr="00E61F19">
        <w:rPr>
          <w:rFonts w:ascii="Arial" w:hAnsi="Arial" w:cs="Arial"/>
          <w:b/>
          <w:color w:val="005EB8"/>
          <w:lang w:eastAsia="en-GB"/>
        </w:rPr>
        <w:t xml:space="preserve">lags and </w:t>
      </w:r>
      <w:r>
        <w:rPr>
          <w:rFonts w:ascii="Arial" w:hAnsi="Arial" w:cs="Arial"/>
          <w:b/>
          <w:color w:val="005EB8"/>
          <w:lang w:eastAsia="en-GB"/>
        </w:rPr>
        <w:t>T</w:t>
      </w:r>
      <w:r w:rsidRPr="00E61F19">
        <w:rPr>
          <w:rFonts w:ascii="Arial" w:hAnsi="Arial" w:cs="Arial"/>
          <w:b/>
          <w:color w:val="005EB8"/>
          <w:lang w:eastAsia="en-GB"/>
        </w:rPr>
        <w:t xml:space="preserve">rend </w:t>
      </w:r>
      <w:r>
        <w:rPr>
          <w:rFonts w:ascii="Arial" w:hAnsi="Arial" w:cs="Arial"/>
          <w:b/>
          <w:color w:val="005EB8"/>
          <w:lang w:eastAsia="en-GB"/>
        </w:rPr>
        <w:t>D</w:t>
      </w:r>
      <w:r w:rsidRPr="00E61F19">
        <w:rPr>
          <w:rFonts w:ascii="Arial" w:hAnsi="Arial" w:cs="Arial"/>
          <w:b/>
          <w:color w:val="005EB8"/>
          <w:lang w:eastAsia="en-GB"/>
        </w:rPr>
        <w:t>ata</w:t>
      </w:r>
    </w:p>
    <w:p w14:paraId="35F37743" w14:textId="77777777" w:rsidR="002F35EC" w:rsidRDefault="002F35EC" w:rsidP="002F35EC">
      <w:pPr>
        <w:shd w:val="clear" w:color="auto" w:fill="FFFFFF"/>
        <w:spacing w:after="0" w:line="240" w:lineRule="auto"/>
        <w:rPr>
          <w:rFonts w:ascii="Arial" w:eastAsia="Times New Roman" w:hAnsi="Arial" w:cs="Arial"/>
          <w:lang w:eastAsia="en-GB"/>
        </w:rPr>
      </w:pPr>
      <w:r w:rsidRPr="00A67E61">
        <w:rPr>
          <w:rFonts w:ascii="Arial" w:eastAsia="Times New Roman" w:hAnsi="Arial" w:cs="Arial"/>
          <w:lang w:eastAsia="en-GB"/>
        </w:rPr>
        <w:t>In November, 63 shifts fell below 75% of template (↓18 vs October), continuing a downward trend (Table 2a).</w:t>
      </w:r>
    </w:p>
    <w:p w14:paraId="58331643" w14:textId="77777777" w:rsidR="002F35EC" w:rsidRDefault="002F35EC" w:rsidP="002F35EC">
      <w:pPr>
        <w:shd w:val="clear" w:color="auto" w:fill="FFFFFF"/>
        <w:spacing w:after="0" w:line="240" w:lineRule="auto"/>
        <w:rPr>
          <w:rFonts w:ascii="Arial" w:eastAsia="Times New Roman" w:hAnsi="Arial" w:cs="Arial"/>
          <w:lang w:eastAsia="en-GB"/>
        </w:rPr>
      </w:pPr>
      <w:r w:rsidRPr="00A67E61">
        <w:rPr>
          <w:rFonts w:ascii="Arial" w:eastAsia="Times New Roman" w:hAnsi="Arial" w:cs="Arial"/>
          <w:lang w:eastAsia="en-GB"/>
        </w:rPr>
        <w:br/>
        <w:t>Across adult inpatient areas, 133 Red Flags were raised via SafeCare (+13 vs October), driven by RN shortfalls (44) and unmet enhanced care (70) (Table 3a). Maternity accounted for 38 Red Flags (↓5 vs last month), remaining the largest contributor (Table 2b). Adult inpatient hotspots included Tye Green (47) and Penn (24), with OPAL also notable due to sickness (7.87% unavailability).</w:t>
      </w:r>
    </w:p>
    <w:p w14:paraId="3AE9E8C6" w14:textId="77777777" w:rsidR="002F35EC" w:rsidRDefault="002F35EC" w:rsidP="002F35EC">
      <w:pPr>
        <w:shd w:val="clear" w:color="auto" w:fill="FFFFFF"/>
        <w:spacing w:after="0" w:line="240" w:lineRule="auto"/>
        <w:rPr>
          <w:rFonts w:ascii="Arial" w:eastAsia="Times New Roman" w:hAnsi="Arial" w:cs="Arial"/>
          <w:lang w:eastAsia="en-GB"/>
        </w:rPr>
      </w:pPr>
      <w:r w:rsidRPr="00A67E61">
        <w:rPr>
          <w:rFonts w:ascii="Arial" w:eastAsia="Times New Roman" w:hAnsi="Arial" w:cs="Arial"/>
          <w:lang w:eastAsia="en-GB"/>
        </w:rPr>
        <w:br/>
        <w:t>Of the 133 Red Flags, 112 remain open and only 15 resolved, highlighting inconsistent closure despite improved reporting trends.</w:t>
      </w:r>
    </w:p>
    <w:p w14:paraId="3A93C501" w14:textId="77777777" w:rsidR="002F35EC" w:rsidRPr="00A67E61" w:rsidRDefault="002F35EC" w:rsidP="002F35EC">
      <w:pPr>
        <w:shd w:val="clear" w:color="auto" w:fill="FFFFFF"/>
        <w:spacing w:after="0" w:line="240" w:lineRule="auto"/>
        <w:rPr>
          <w:rFonts w:ascii="Arial" w:eastAsia="Times New Roman" w:hAnsi="Arial" w:cs="Arial"/>
          <w:lang w:eastAsia="en-GB"/>
        </w:rPr>
      </w:pPr>
      <w:r w:rsidRPr="00A67E61">
        <w:rPr>
          <w:rFonts w:ascii="Arial" w:eastAsia="Times New Roman" w:hAnsi="Arial" w:cs="Arial"/>
          <w:lang w:eastAsia="en-GB"/>
        </w:rPr>
        <w:br/>
        <w:t>To strengthen oversight, a local Red Flag for unmet enhanced care and a Level 3 Enhanced Care patient task were introduced across adult inpatient wards, with Adult ED adopting this functionality in September. Training and daily huddles now include open Red Flags in deployment decisions, and closure compliance is embedded in preceptorship and Band 6 development days.</w:t>
      </w:r>
    </w:p>
    <w:p w14:paraId="250BF4D0" w14:textId="77777777" w:rsidR="006727C5" w:rsidRPr="00037267" w:rsidRDefault="006727C5" w:rsidP="006727C5">
      <w:pPr>
        <w:jc w:val="both"/>
        <w:rPr>
          <w:rFonts w:ascii="Arial" w:hAnsi="Arial" w:cs="Arial"/>
          <w:shd w:val="clear" w:color="auto" w:fill="FFFFFF"/>
        </w:rPr>
      </w:pPr>
    </w:p>
    <w:p w14:paraId="09A9251C" w14:textId="77777777" w:rsidR="00C27C2E" w:rsidRPr="00037267" w:rsidRDefault="00C27C2E" w:rsidP="007652ED">
      <w:pPr>
        <w:jc w:val="both"/>
        <w:rPr>
          <w:rFonts w:ascii="Arial" w:hAnsi="Arial" w:cs="Arial"/>
          <w:shd w:val="clear" w:color="auto" w:fill="FFFFFF"/>
        </w:rPr>
      </w:pPr>
    </w:p>
    <w:p w14:paraId="015DA763" w14:textId="77777777" w:rsidR="00C27C2E" w:rsidRPr="00037267" w:rsidRDefault="00C27C2E" w:rsidP="007652ED">
      <w:pPr>
        <w:jc w:val="both"/>
        <w:rPr>
          <w:rFonts w:ascii="Arial" w:hAnsi="Arial" w:cs="Arial"/>
          <w:shd w:val="clear" w:color="auto" w:fill="FFFFFF"/>
        </w:rPr>
      </w:pPr>
    </w:p>
    <w:p w14:paraId="74592C43" w14:textId="77777777" w:rsidR="00A67E61" w:rsidRPr="00037267" w:rsidRDefault="00A67E61" w:rsidP="007E587A">
      <w:pPr>
        <w:spacing w:after="0"/>
        <w:rPr>
          <w:rFonts w:ascii="Arial" w:hAnsi="Arial" w:cs="Arial"/>
          <w:shd w:val="clear" w:color="auto" w:fill="FFFFFF"/>
        </w:rPr>
      </w:pPr>
    </w:p>
    <w:p w14:paraId="74707747" w14:textId="77777777" w:rsidR="00BA53CE" w:rsidRPr="00037267" w:rsidRDefault="00BA53CE" w:rsidP="007E587A">
      <w:pPr>
        <w:spacing w:after="0"/>
        <w:rPr>
          <w:rFonts w:ascii="Arial" w:hAnsi="Arial" w:cs="Arial"/>
          <w:b/>
          <w:color w:val="005EB8"/>
        </w:rPr>
      </w:pPr>
    </w:p>
    <w:p w14:paraId="32B367EB" w14:textId="77777777" w:rsidR="00BA53CE" w:rsidRPr="00037267" w:rsidRDefault="00BA53CE" w:rsidP="007E587A">
      <w:pPr>
        <w:spacing w:after="0"/>
        <w:rPr>
          <w:rFonts w:ascii="Arial" w:hAnsi="Arial" w:cs="Arial"/>
          <w:b/>
          <w:color w:val="005EB8"/>
        </w:rPr>
      </w:pPr>
    </w:p>
    <w:p w14:paraId="5F03F2E6" w14:textId="77777777" w:rsidR="002F35EC" w:rsidRDefault="002F35EC" w:rsidP="007E587A">
      <w:pPr>
        <w:spacing w:after="0"/>
        <w:rPr>
          <w:rFonts w:ascii="Arial" w:hAnsi="Arial" w:cs="Arial"/>
          <w:b/>
          <w:color w:val="005EB8"/>
        </w:rPr>
      </w:pPr>
    </w:p>
    <w:p w14:paraId="5677121D" w14:textId="33A1BE07" w:rsidR="00317DE5" w:rsidRPr="00037267" w:rsidRDefault="003A275C" w:rsidP="007E587A">
      <w:pPr>
        <w:spacing w:after="0"/>
        <w:rPr>
          <w:rFonts w:ascii="Arial" w:hAnsi="Arial" w:cs="Arial"/>
          <w:b/>
          <w:color w:val="005EB8"/>
        </w:rPr>
      </w:pPr>
      <w:r w:rsidRPr="00037267">
        <w:rPr>
          <w:rFonts w:ascii="Arial" w:hAnsi="Arial" w:cs="Arial"/>
          <w:b/>
          <w:color w:val="005EB8"/>
        </w:rPr>
        <w:lastRenderedPageBreak/>
        <w:t xml:space="preserve">Table 1. Occasions when </w:t>
      </w:r>
      <w:bookmarkEnd w:id="13"/>
      <w:r w:rsidRPr="00037267">
        <w:rPr>
          <w:rFonts w:ascii="Arial" w:hAnsi="Arial" w:cs="Arial"/>
          <w:b/>
          <w:color w:val="005EB8"/>
        </w:rPr>
        <w:t xml:space="preserve">registered staffing fell below 75% of standard template </w:t>
      </w:r>
      <w:r w:rsidR="005E7E62" w:rsidRPr="00037267">
        <w:rPr>
          <w:rFonts w:ascii="Arial" w:hAnsi="Arial" w:cs="Arial"/>
          <w:b/>
          <w:color w:val="005EB8"/>
        </w:rPr>
        <w:t>Nov</w:t>
      </w:r>
      <w:r w:rsidR="00206CA8" w:rsidRPr="00037267">
        <w:rPr>
          <w:rFonts w:ascii="Arial" w:hAnsi="Arial" w:cs="Arial"/>
          <w:b/>
          <w:color w:val="005EB8"/>
        </w:rPr>
        <w:t>-</w:t>
      </w:r>
      <w:r w:rsidR="009D341F" w:rsidRPr="00037267">
        <w:rPr>
          <w:rFonts w:ascii="Arial" w:hAnsi="Arial" w:cs="Arial"/>
          <w:b/>
          <w:color w:val="005EB8"/>
        </w:rPr>
        <w:t>25</w:t>
      </w:r>
    </w:p>
    <w:p w14:paraId="4F6CB83B" w14:textId="77777777" w:rsidR="004D424E" w:rsidRPr="00037267" w:rsidRDefault="004D424E" w:rsidP="007E587A">
      <w:pPr>
        <w:spacing w:after="0"/>
        <w:rPr>
          <w:rFonts w:ascii="Arial" w:hAnsi="Arial" w:cs="Arial"/>
          <w:b/>
          <w:color w:val="005EB8"/>
        </w:rPr>
      </w:pPr>
    </w:p>
    <w:p w14:paraId="3711E61C" w14:textId="76BD6E28" w:rsidR="00D533BF" w:rsidRPr="00037267" w:rsidRDefault="005E7E62" w:rsidP="007E587A">
      <w:pPr>
        <w:spacing w:after="0"/>
        <w:rPr>
          <w:rFonts w:ascii="Arial" w:hAnsi="Arial" w:cs="Arial"/>
          <w:b/>
          <w:color w:val="005EB8"/>
          <w:lang w:eastAsia="en-GB"/>
        </w:rPr>
      </w:pPr>
      <w:bookmarkStart w:id="14" w:name="_Hlk187929424"/>
      <w:r w:rsidRPr="00037267">
        <w:rPr>
          <w:rFonts w:ascii="Arial" w:hAnsi="Arial" w:cs="Arial"/>
          <w:b/>
          <w:noProof/>
          <w:color w:val="005EB8"/>
          <w:lang w:eastAsia="en-GB"/>
        </w:rPr>
        <w:drawing>
          <wp:inline distT="0" distB="0" distL="0" distR="0" wp14:anchorId="34F6BDD6" wp14:editId="4B06687A">
            <wp:extent cx="5213350" cy="3401820"/>
            <wp:effectExtent l="0" t="0" r="6350" b="8255"/>
            <wp:docPr id="1910750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45680" cy="3422916"/>
                    </a:xfrm>
                    <a:prstGeom prst="rect">
                      <a:avLst/>
                    </a:prstGeom>
                    <a:noFill/>
                  </pic:spPr>
                </pic:pic>
              </a:graphicData>
            </a:graphic>
          </wp:inline>
        </w:drawing>
      </w:r>
    </w:p>
    <w:p w14:paraId="5235E923" w14:textId="77777777" w:rsidR="00C27C2E" w:rsidRPr="00037267" w:rsidRDefault="00C27C2E" w:rsidP="007E587A">
      <w:pPr>
        <w:spacing w:after="0"/>
        <w:rPr>
          <w:rFonts w:ascii="Arial" w:hAnsi="Arial" w:cs="Arial"/>
          <w:b/>
          <w:color w:val="005EB8"/>
          <w:lang w:eastAsia="en-GB"/>
        </w:rPr>
      </w:pPr>
    </w:p>
    <w:p w14:paraId="44B58AF3" w14:textId="134C009C" w:rsidR="001D3EF4" w:rsidRPr="00037267" w:rsidRDefault="0040343C" w:rsidP="007E587A">
      <w:pPr>
        <w:spacing w:after="0"/>
        <w:rPr>
          <w:rFonts w:ascii="Arial" w:hAnsi="Arial" w:cs="Arial"/>
          <w:b/>
          <w:color w:val="005EB8"/>
        </w:rPr>
      </w:pPr>
      <w:r w:rsidRPr="00037267">
        <w:rPr>
          <w:rFonts w:ascii="Arial" w:hAnsi="Arial" w:cs="Arial"/>
          <w:b/>
          <w:color w:val="005EB8"/>
          <w:lang w:eastAsia="en-GB"/>
        </w:rPr>
        <w:t>Table 2</w:t>
      </w:r>
      <w:r w:rsidR="00B54181" w:rsidRPr="00037267">
        <w:rPr>
          <w:rFonts w:ascii="Arial" w:hAnsi="Arial" w:cs="Arial"/>
          <w:b/>
          <w:color w:val="005EB8"/>
          <w:lang w:eastAsia="en-GB"/>
        </w:rPr>
        <w:t>a</w:t>
      </w:r>
      <w:r w:rsidRPr="00037267">
        <w:rPr>
          <w:rFonts w:ascii="Arial" w:hAnsi="Arial" w:cs="Arial"/>
          <w:b/>
          <w:color w:val="005EB8"/>
          <w:lang w:eastAsia="en-GB"/>
        </w:rPr>
        <w:t xml:space="preserve">. </w:t>
      </w:r>
      <w:r w:rsidR="001D3EF4" w:rsidRPr="00037267">
        <w:rPr>
          <w:rFonts w:ascii="Arial" w:hAnsi="Arial" w:cs="Arial"/>
          <w:b/>
          <w:color w:val="005EB8"/>
        </w:rPr>
        <w:t xml:space="preserve">Occasions when </w:t>
      </w:r>
      <w:r w:rsidR="00B54181" w:rsidRPr="00037267">
        <w:rPr>
          <w:rFonts w:ascii="Arial" w:hAnsi="Arial" w:cs="Arial"/>
          <w:b/>
          <w:color w:val="005EB8"/>
        </w:rPr>
        <w:t xml:space="preserve">all </w:t>
      </w:r>
      <w:r w:rsidR="001D3EF4" w:rsidRPr="00037267">
        <w:rPr>
          <w:rFonts w:ascii="Arial" w:hAnsi="Arial" w:cs="Arial"/>
          <w:b/>
          <w:color w:val="005EB8"/>
        </w:rPr>
        <w:t xml:space="preserve">registered staffing fell below 75% of standard </w:t>
      </w:r>
      <w:r w:rsidR="002344E1" w:rsidRPr="00037267">
        <w:rPr>
          <w:rFonts w:ascii="Arial" w:hAnsi="Arial" w:cs="Arial"/>
          <w:b/>
          <w:color w:val="005EB8"/>
        </w:rPr>
        <w:t>template.</w:t>
      </w:r>
      <w:r w:rsidR="001D3EF4" w:rsidRPr="00037267">
        <w:rPr>
          <w:rFonts w:ascii="Arial" w:hAnsi="Arial" w:cs="Arial"/>
          <w:b/>
          <w:color w:val="005EB8"/>
        </w:rPr>
        <w:t xml:space="preserve"> </w:t>
      </w:r>
    </w:p>
    <w:p w14:paraId="2B18FA2C" w14:textId="51D2F4FB" w:rsidR="004D424E" w:rsidRPr="00037267" w:rsidRDefault="00252BE7" w:rsidP="007E587A">
      <w:pPr>
        <w:spacing w:after="0"/>
        <w:rPr>
          <w:rFonts w:ascii="Arial" w:hAnsi="Arial" w:cs="Arial"/>
          <w:b/>
          <w:color w:val="005EB8"/>
          <w:lang w:eastAsia="en-GB"/>
        </w:rPr>
      </w:pPr>
      <w:r w:rsidRPr="00037267">
        <w:rPr>
          <w:rFonts w:ascii="Arial" w:hAnsi="Arial" w:cs="Arial"/>
          <w:b/>
          <w:color w:val="005EB8"/>
          <w:lang w:eastAsia="en-GB"/>
        </w:rPr>
        <w:t>Trend Data</w:t>
      </w:r>
      <w:r w:rsidR="000851F7" w:rsidRPr="00037267">
        <w:rPr>
          <w:rFonts w:ascii="Arial" w:hAnsi="Arial" w:cs="Arial"/>
          <w:b/>
          <w:color w:val="005EB8"/>
          <w:lang w:eastAsia="en-GB"/>
        </w:rPr>
        <w:t xml:space="preserve"> </w:t>
      </w:r>
      <w:r w:rsidR="005E7E62" w:rsidRPr="00037267">
        <w:rPr>
          <w:rFonts w:ascii="Arial" w:hAnsi="Arial" w:cs="Arial"/>
          <w:b/>
          <w:color w:val="005EB8"/>
          <w:lang w:eastAsia="en-GB"/>
        </w:rPr>
        <w:t>Dec</w:t>
      </w:r>
      <w:r w:rsidR="00B54181" w:rsidRPr="00037267">
        <w:rPr>
          <w:rFonts w:ascii="Arial" w:hAnsi="Arial" w:cs="Arial"/>
          <w:b/>
          <w:color w:val="005EB8"/>
          <w:lang w:eastAsia="en-GB"/>
        </w:rPr>
        <w:t>-24 –</w:t>
      </w:r>
      <w:r w:rsidR="005E7E62" w:rsidRPr="00037267">
        <w:rPr>
          <w:rFonts w:ascii="Arial" w:hAnsi="Arial" w:cs="Arial"/>
          <w:b/>
          <w:color w:val="005EB8"/>
          <w:lang w:eastAsia="en-GB"/>
        </w:rPr>
        <w:t xml:space="preserve"> Nov</w:t>
      </w:r>
      <w:r w:rsidR="00B54181" w:rsidRPr="00037267">
        <w:rPr>
          <w:rFonts w:ascii="Arial" w:hAnsi="Arial" w:cs="Arial"/>
          <w:b/>
          <w:color w:val="005EB8"/>
          <w:lang w:eastAsia="en-GB"/>
        </w:rPr>
        <w:t>-25</w:t>
      </w:r>
    </w:p>
    <w:p w14:paraId="1EA164D0" w14:textId="64470F00" w:rsidR="004D424E" w:rsidRPr="00037267" w:rsidRDefault="005E7E62" w:rsidP="007E587A">
      <w:pPr>
        <w:spacing w:after="0"/>
        <w:rPr>
          <w:rFonts w:ascii="Arial" w:hAnsi="Arial" w:cs="Arial"/>
          <w:b/>
          <w:color w:val="005EB8"/>
          <w:lang w:eastAsia="en-GB"/>
        </w:rPr>
      </w:pPr>
      <w:r w:rsidRPr="00037267">
        <w:rPr>
          <w:rFonts w:ascii="Arial" w:hAnsi="Arial" w:cs="Arial"/>
          <w:b/>
          <w:noProof/>
          <w:color w:val="005EB8"/>
          <w:lang w:eastAsia="en-GB"/>
        </w:rPr>
        <w:drawing>
          <wp:inline distT="0" distB="0" distL="0" distR="0" wp14:anchorId="0F525D53" wp14:editId="765CC30F">
            <wp:extent cx="5170515" cy="3365500"/>
            <wp:effectExtent l="0" t="0" r="0" b="6350"/>
            <wp:docPr id="146846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1875" cy="3379404"/>
                    </a:xfrm>
                    <a:prstGeom prst="rect">
                      <a:avLst/>
                    </a:prstGeom>
                    <a:noFill/>
                  </pic:spPr>
                </pic:pic>
              </a:graphicData>
            </a:graphic>
          </wp:inline>
        </w:drawing>
      </w:r>
    </w:p>
    <w:p w14:paraId="7BF4FB03" w14:textId="5B8F2280" w:rsidR="00A66A91" w:rsidRPr="00037267" w:rsidRDefault="00A66A91" w:rsidP="0040343C">
      <w:pPr>
        <w:spacing w:after="0"/>
        <w:rPr>
          <w:rFonts w:ascii="Arial" w:hAnsi="Arial" w:cs="Arial"/>
          <w:b/>
          <w:color w:val="005EB8"/>
          <w:lang w:eastAsia="en-GB"/>
        </w:rPr>
      </w:pPr>
      <w:bookmarkStart w:id="15" w:name="_Hlk189467370"/>
      <w:bookmarkStart w:id="16" w:name="_Hlk166656497"/>
      <w:bookmarkStart w:id="17" w:name="_Hlk168663555"/>
      <w:bookmarkEnd w:id="14"/>
    </w:p>
    <w:p w14:paraId="06F12C04" w14:textId="77777777" w:rsidR="00A25A23" w:rsidRPr="00037267" w:rsidRDefault="00A25A23" w:rsidP="00B54181">
      <w:pPr>
        <w:spacing w:after="0"/>
        <w:rPr>
          <w:rFonts w:ascii="Arial" w:hAnsi="Arial" w:cs="Arial"/>
          <w:b/>
          <w:color w:val="005EB8"/>
          <w:lang w:eastAsia="en-GB"/>
        </w:rPr>
      </w:pPr>
    </w:p>
    <w:p w14:paraId="3DEAFB36" w14:textId="77777777" w:rsidR="00A25A23" w:rsidRPr="00037267" w:rsidRDefault="00A25A23" w:rsidP="00B54181">
      <w:pPr>
        <w:spacing w:after="0"/>
        <w:rPr>
          <w:rFonts w:ascii="Arial" w:hAnsi="Arial" w:cs="Arial"/>
          <w:b/>
          <w:color w:val="005EB8"/>
          <w:lang w:eastAsia="en-GB"/>
        </w:rPr>
      </w:pPr>
    </w:p>
    <w:p w14:paraId="68E1161C" w14:textId="77777777" w:rsidR="00A25A23" w:rsidRPr="00037267" w:rsidRDefault="00A25A23" w:rsidP="00B54181">
      <w:pPr>
        <w:spacing w:after="0"/>
        <w:rPr>
          <w:rFonts w:ascii="Arial" w:hAnsi="Arial" w:cs="Arial"/>
          <w:b/>
          <w:color w:val="005EB8"/>
          <w:lang w:eastAsia="en-GB"/>
        </w:rPr>
      </w:pPr>
    </w:p>
    <w:p w14:paraId="009BE62A" w14:textId="77777777" w:rsidR="00BA53CE" w:rsidRPr="00037267" w:rsidRDefault="00BA53CE" w:rsidP="00B54181">
      <w:pPr>
        <w:spacing w:after="0"/>
        <w:rPr>
          <w:rFonts w:ascii="Arial" w:hAnsi="Arial" w:cs="Arial"/>
          <w:b/>
          <w:color w:val="005EB8"/>
          <w:lang w:eastAsia="en-GB"/>
        </w:rPr>
      </w:pPr>
    </w:p>
    <w:p w14:paraId="28D2C312" w14:textId="389D2B89" w:rsidR="00B54181" w:rsidRPr="00037267" w:rsidRDefault="00B54181" w:rsidP="00B54181">
      <w:pPr>
        <w:spacing w:after="0"/>
        <w:rPr>
          <w:rFonts w:ascii="Arial" w:hAnsi="Arial" w:cs="Arial"/>
          <w:b/>
          <w:color w:val="005EB8"/>
          <w:lang w:eastAsia="en-GB"/>
        </w:rPr>
      </w:pPr>
      <w:r w:rsidRPr="00037267">
        <w:rPr>
          <w:rFonts w:ascii="Arial" w:hAnsi="Arial" w:cs="Arial"/>
          <w:b/>
          <w:color w:val="005EB8"/>
          <w:lang w:eastAsia="en-GB"/>
        </w:rPr>
        <w:lastRenderedPageBreak/>
        <w:t xml:space="preserve">Table 2b. Occasions when registered maternity staffing fell below 75% of standard template. Trend Data </w:t>
      </w:r>
      <w:r w:rsidR="005E7E62" w:rsidRPr="00037267">
        <w:rPr>
          <w:rFonts w:ascii="Arial" w:hAnsi="Arial" w:cs="Arial"/>
          <w:b/>
          <w:color w:val="005EB8"/>
          <w:lang w:eastAsia="en-GB"/>
        </w:rPr>
        <w:t>Dec</w:t>
      </w:r>
      <w:r w:rsidRPr="00037267">
        <w:rPr>
          <w:rFonts w:ascii="Arial" w:hAnsi="Arial" w:cs="Arial"/>
          <w:b/>
          <w:color w:val="005EB8"/>
          <w:lang w:eastAsia="en-GB"/>
        </w:rPr>
        <w:t xml:space="preserve">-24 – </w:t>
      </w:r>
      <w:r w:rsidR="005E7E62" w:rsidRPr="00037267">
        <w:rPr>
          <w:rFonts w:ascii="Arial" w:hAnsi="Arial" w:cs="Arial"/>
          <w:b/>
          <w:color w:val="005EB8"/>
          <w:lang w:eastAsia="en-GB"/>
        </w:rPr>
        <w:t>Nov</w:t>
      </w:r>
      <w:r w:rsidRPr="00037267">
        <w:rPr>
          <w:rFonts w:ascii="Arial" w:hAnsi="Arial" w:cs="Arial"/>
          <w:b/>
          <w:color w:val="005EB8"/>
          <w:lang w:eastAsia="en-GB"/>
        </w:rPr>
        <w:t>-25</w:t>
      </w:r>
    </w:p>
    <w:p w14:paraId="678ADBB3" w14:textId="77777777" w:rsidR="00B54181" w:rsidRPr="00037267" w:rsidRDefault="00B54181" w:rsidP="00B54181">
      <w:pPr>
        <w:spacing w:after="0"/>
        <w:rPr>
          <w:rFonts w:ascii="Arial" w:hAnsi="Arial" w:cs="Arial"/>
          <w:b/>
          <w:color w:val="005EB8"/>
          <w:lang w:eastAsia="en-GB"/>
        </w:rPr>
      </w:pPr>
    </w:p>
    <w:p w14:paraId="12CE6E90" w14:textId="799A6317" w:rsidR="00B54181" w:rsidRPr="00037267" w:rsidRDefault="005E7E62" w:rsidP="00B54181">
      <w:pPr>
        <w:spacing w:after="0"/>
        <w:rPr>
          <w:rFonts w:ascii="Arial" w:hAnsi="Arial" w:cs="Arial"/>
          <w:b/>
          <w:color w:val="005EB8"/>
          <w:lang w:eastAsia="en-GB"/>
        </w:rPr>
      </w:pPr>
      <w:r w:rsidRPr="00037267">
        <w:rPr>
          <w:rFonts w:ascii="Arial" w:hAnsi="Arial" w:cs="Arial"/>
          <w:b/>
          <w:noProof/>
          <w:color w:val="005EB8"/>
          <w:lang w:eastAsia="en-GB"/>
        </w:rPr>
        <w:drawing>
          <wp:inline distT="0" distB="0" distL="0" distR="0" wp14:anchorId="1FE7E2FF" wp14:editId="52B95996">
            <wp:extent cx="5238750" cy="3411440"/>
            <wp:effectExtent l="0" t="0" r="0" b="0"/>
            <wp:docPr id="172599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68396" cy="3430745"/>
                    </a:xfrm>
                    <a:prstGeom prst="rect">
                      <a:avLst/>
                    </a:prstGeom>
                    <a:noFill/>
                  </pic:spPr>
                </pic:pic>
              </a:graphicData>
            </a:graphic>
          </wp:inline>
        </w:drawing>
      </w:r>
    </w:p>
    <w:p w14:paraId="7AA88FA6" w14:textId="77777777" w:rsidR="00C27C2E" w:rsidRPr="00037267" w:rsidRDefault="00C27C2E" w:rsidP="001F47E2">
      <w:pPr>
        <w:spacing w:after="0"/>
        <w:rPr>
          <w:rFonts w:ascii="Arial" w:hAnsi="Arial" w:cs="Arial"/>
          <w:shd w:val="clear" w:color="auto" w:fill="FFFFFF"/>
        </w:rPr>
      </w:pPr>
    </w:p>
    <w:p w14:paraId="148DF71C" w14:textId="7AA05885" w:rsidR="00BD5FB6" w:rsidRPr="00037267" w:rsidRDefault="0055598D" w:rsidP="0040343C">
      <w:pPr>
        <w:spacing w:after="0"/>
        <w:rPr>
          <w:rFonts w:ascii="Arial" w:hAnsi="Arial" w:cs="Arial"/>
          <w:b/>
          <w:color w:val="005EB8"/>
          <w:lang w:eastAsia="en-GB"/>
        </w:rPr>
      </w:pPr>
      <w:r w:rsidRPr="00037267">
        <w:rPr>
          <w:rFonts w:ascii="Arial" w:hAnsi="Arial" w:cs="Arial"/>
          <w:b/>
          <w:color w:val="005EB8"/>
          <w:lang w:eastAsia="en-GB"/>
        </w:rPr>
        <w:t>Table 3</w:t>
      </w:r>
      <w:r w:rsidR="00EE6829" w:rsidRPr="00037267">
        <w:rPr>
          <w:rFonts w:ascii="Arial" w:hAnsi="Arial" w:cs="Arial"/>
          <w:b/>
          <w:color w:val="005EB8"/>
          <w:lang w:eastAsia="en-GB"/>
        </w:rPr>
        <w:t>a</w:t>
      </w:r>
      <w:r w:rsidRPr="00037267">
        <w:rPr>
          <w:rFonts w:ascii="Arial" w:hAnsi="Arial" w:cs="Arial"/>
          <w:b/>
          <w:color w:val="005EB8"/>
          <w:lang w:eastAsia="en-GB"/>
        </w:rPr>
        <w:t xml:space="preserve">. Red Flags raised via SafeCare </w:t>
      </w:r>
      <w:r w:rsidR="00E648C6" w:rsidRPr="00037267">
        <w:rPr>
          <w:rFonts w:ascii="Arial" w:hAnsi="Arial" w:cs="Arial"/>
          <w:b/>
          <w:color w:val="005EB8"/>
          <w:lang w:eastAsia="en-GB"/>
        </w:rPr>
        <w:t>Nov</w:t>
      </w:r>
      <w:r w:rsidR="00206CA8" w:rsidRPr="00037267">
        <w:rPr>
          <w:rFonts w:ascii="Arial" w:hAnsi="Arial" w:cs="Arial"/>
          <w:b/>
          <w:color w:val="005EB8"/>
          <w:lang w:eastAsia="en-GB"/>
        </w:rPr>
        <w:t>-</w:t>
      </w:r>
      <w:r w:rsidR="009454B6" w:rsidRPr="00037267">
        <w:rPr>
          <w:rFonts w:ascii="Arial" w:hAnsi="Arial" w:cs="Arial"/>
          <w:b/>
          <w:color w:val="005EB8"/>
          <w:lang w:eastAsia="en-GB"/>
        </w:rPr>
        <w:t>25</w:t>
      </w:r>
    </w:p>
    <w:p w14:paraId="0FFCAD68" w14:textId="77777777" w:rsidR="00A66A91" w:rsidRPr="00037267" w:rsidRDefault="00A66A91" w:rsidP="0040343C">
      <w:pPr>
        <w:spacing w:after="0"/>
        <w:rPr>
          <w:rFonts w:ascii="Arial" w:hAnsi="Arial" w:cs="Arial"/>
          <w:b/>
          <w:color w:val="005EB8"/>
          <w:lang w:eastAsia="en-GB"/>
        </w:rPr>
      </w:pPr>
    </w:p>
    <w:p w14:paraId="254DBAF3" w14:textId="4A80A19D" w:rsidR="00317DE5" w:rsidRPr="00037267" w:rsidRDefault="00E648C6" w:rsidP="0040343C">
      <w:pPr>
        <w:spacing w:after="0"/>
        <w:rPr>
          <w:rFonts w:ascii="Arial" w:hAnsi="Arial" w:cs="Arial"/>
          <w:b/>
          <w:color w:val="005EB8"/>
        </w:rPr>
      </w:pPr>
      <w:r w:rsidRPr="00037267">
        <w:rPr>
          <w:rFonts w:ascii="Arial" w:hAnsi="Arial" w:cs="Arial"/>
          <w:noProof/>
        </w:rPr>
        <w:drawing>
          <wp:inline distT="0" distB="0" distL="0" distR="0" wp14:anchorId="43E2B582" wp14:editId="35D146FD">
            <wp:extent cx="5232400" cy="2024935"/>
            <wp:effectExtent l="0" t="0" r="6350" b="0"/>
            <wp:docPr id="1152403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6621" cy="2030439"/>
                    </a:xfrm>
                    <a:prstGeom prst="rect">
                      <a:avLst/>
                    </a:prstGeom>
                    <a:noFill/>
                    <a:ln>
                      <a:noFill/>
                    </a:ln>
                  </pic:spPr>
                </pic:pic>
              </a:graphicData>
            </a:graphic>
          </wp:inline>
        </w:drawing>
      </w:r>
    </w:p>
    <w:bookmarkEnd w:id="15"/>
    <w:p w14:paraId="133D7FF4" w14:textId="77777777" w:rsidR="002344E1" w:rsidRPr="00037267" w:rsidRDefault="002344E1" w:rsidP="00EE6829">
      <w:pPr>
        <w:spacing w:after="0"/>
        <w:rPr>
          <w:rFonts w:ascii="Arial" w:hAnsi="Arial" w:cs="Arial"/>
          <w:b/>
          <w:color w:val="005EB8"/>
          <w:lang w:eastAsia="en-GB"/>
        </w:rPr>
      </w:pPr>
    </w:p>
    <w:p w14:paraId="1A9A01F9" w14:textId="77777777" w:rsidR="00A25A23" w:rsidRPr="00037267" w:rsidRDefault="00A25A23" w:rsidP="00EE6829">
      <w:pPr>
        <w:spacing w:after="0"/>
        <w:rPr>
          <w:rFonts w:ascii="Arial" w:hAnsi="Arial" w:cs="Arial"/>
          <w:b/>
          <w:color w:val="005EB8"/>
          <w:lang w:eastAsia="en-GB"/>
        </w:rPr>
      </w:pPr>
    </w:p>
    <w:p w14:paraId="3DE87D53" w14:textId="77777777" w:rsidR="00A25A23" w:rsidRPr="00037267" w:rsidRDefault="00A25A23" w:rsidP="00EE6829">
      <w:pPr>
        <w:spacing w:after="0"/>
        <w:rPr>
          <w:rFonts w:ascii="Arial" w:hAnsi="Arial" w:cs="Arial"/>
          <w:b/>
          <w:color w:val="005EB8"/>
          <w:lang w:eastAsia="en-GB"/>
        </w:rPr>
      </w:pPr>
    </w:p>
    <w:p w14:paraId="35456061" w14:textId="77777777" w:rsidR="00A25A23" w:rsidRPr="00037267" w:rsidRDefault="00A25A23" w:rsidP="00EE6829">
      <w:pPr>
        <w:spacing w:after="0"/>
        <w:rPr>
          <w:rFonts w:ascii="Arial" w:hAnsi="Arial" w:cs="Arial"/>
          <w:b/>
          <w:color w:val="005EB8"/>
          <w:lang w:eastAsia="en-GB"/>
        </w:rPr>
      </w:pPr>
    </w:p>
    <w:p w14:paraId="2FD3AA86" w14:textId="77777777" w:rsidR="00A25A23" w:rsidRPr="00037267" w:rsidRDefault="00A25A23" w:rsidP="00EE6829">
      <w:pPr>
        <w:spacing w:after="0"/>
        <w:rPr>
          <w:rFonts w:ascii="Arial" w:hAnsi="Arial" w:cs="Arial"/>
          <w:b/>
          <w:color w:val="005EB8"/>
          <w:lang w:eastAsia="en-GB"/>
        </w:rPr>
      </w:pPr>
    </w:p>
    <w:p w14:paraId="01E6E6F1" w14:textId="77777777" w:rsidR="00A25A23" w:rsidRPr="00037267" w:rsidRDefault="00A25A23" w:rsidP="00EE6829">
      <w:pPr>
        <w:spacing w:after="0"/>
        <w:rPr>
          <w:rFonts w:ascii="Arial" w:hAnsi="Arial" w:cs="Arial"/>
          <w:b/>
          <w:color w:val="005EB8"/>
          <w:lang w:eastAsia="en-GB"/>
        </w:rPr>
      </w:pPr>
    </w:p>
    <w:p w14:paraId="47DA8465" w14:textId="77777777" w:rsidR="00A25A23" w:rsidRPr="00037267" w:rsidRDefault="00A25A23" w:rsidP="00EE6829">
      <w:pPr>
        <w:spacing w:after="0"/>
        <w:rPr>
          <w:rFonts w:ascii="Arial" w:hAnsi="Arial" w:cs="Arial"/>
          <w:b/>
          <w:color w:val="005EB8"/>
          <w:lang w:eastAsia="en-GB"/>
        </w:rPr>
      </w:pPr>
    </w:p>
    <w:p w14:paraId="549CCFE1" w14:textId="77777777" w:rsidR="00A25A23" w:rsidRPr="00037267" w:rsidRDefault="00A25A23" w:rsidP="00EE6829">
      <w:pPr>
        <w:spacing w:after="0"/>
        <w:rPr>
          <w:rFonts w:ascii="Arial" w:hAnsi="Arial" w:cs="Arial"/>
          <w:b/>
          <w:color w:val="005EB8"/>
          <w:lang w:eastAsia="en-GB"/>
        </w:rPr>
      </w:pPr>
    </w:p>
    <w:p w14:paraId="0D1A2A30" w14:textId="77777777" w:rsidR="00A25A23" w:rsidRPr="00037267" w:rsidRDefault="00A25A23" w:rsidP="00EE6829">
      <w:pPr>
        <w:spacing w:after="0"/>
        <w:rPr>
          <w:rFonts w:ascii="Arial" w:hAnsi="Arial" w:cs="Arial"/>
          <w:b/>
          <w:color w:val="005EB8"/>
          <w:lang w:eastAsia="en-GB"/>
        </w:rPr>
      </w:pPr>
    </w:p>
    <w:p w14:paraId="5433A32C" w14:textId="77777777" w:rsidR="00A25A23" w:rsidRPr="00037267" w:rsidRDefault="00A25A23" w:rsidP="00EE6829">
      <w:pPr>
        <w:spacing w:after="0"/>
        <w:rPr>
          <w:rFonts w:ascii="Arial" w:hAnsi="Arial" w:cs="Arial"/>
          <w:b/>
          <w:color w:val="005EB8"/>
          <w:lang w:eastAsia="en-GB"/>
        </w:rPr>
      </w:pPr>
    </w:p>
    <w:p w14:paraId="2EE7012D" w14:textId="77777777" w:rsidR="00A25A23" w:rsidRPr="00037267" w:rsidRDefault="00A25A23" w:rsidP="00EE6829">
      <w:pPr>
        <w:spacing w:after="0"/>
        <w:rPr>
          <w:rFonts w:ascii="Arial" w:hAnsi="Arial" w:cs="Arial"/>
          <w:b/>
          <w:color w:val="005EB8"/>
          <w:lang w:eastAsia="en-GB"/>
        </w:rPr>
      </w:pPr>
    </w:p>
    <w:p w14:paraId="767D7403" w14:textId="77777777" w:rsidR="00A25A23" w:rsidRPr="00037267" w:rsidRDefault="00A25A23" w:rsidP="00EE6829">
      <w:pPr>
        <w:spacing w:after="0"/>
        <w:rPr>
          <w:rFonts w:ascii="Arial" w:hAnsi="Arial" w:cs="Arial"/>
          <w:b/>
          <w:color w:val="005EB8"/>
          <w:lang w:eastAsia="en-GB"/>
        </w:rPr>
      </w:pPr>
    </w:p>
    <w:p w14:paraId="3BC76CD5" w14:textId="6F24EBF8" w:rsidR="00EE6829" w:rsidRPr="00037267" w:rsidRDefault="00F87612" w:rsidP="00EE6829">
      <w:pPr>
        <w:spacing w:after="0"/>
        <w:rPr>
          <w:rFonts w:ascii="Arial" w:hAnsi="Arial" w:cs="Arial"/>
          <w:b/>
          <w:color w:val="005EB8"/>
          <w:lang w:eastAsia="en-GB"/>
        </w:rPr>
      </w:pPr>
      <w:r w:rsidRPr="00037267">
        <w:rPr>
          <w:rFonts w:ascii="Arial" w:hAnsi="Arial" w:cs="Arial"/>
          <w:b/>
          <w:color w:val="005EB8"/>
          <w:lang w:eastAsia="en-GB"/>
        </w:rPr>
        <w:lastRenderedPageBreak/>
        <w:t>T</w:t>
      </w:r>
      <w:r w:rsidR="00EE6829" w:rsidRPr="00037267">
        <w:rPr>
          <w:rFonts w:ascii="Arial" w:hAnsi="Arial" w:cs="Arial"/>
          <w:b/>
          <w:color w:val="005EB8"/>
          <w:lang w:eastAsia="en-GB"/>
        </w:rPr>
        <w:t>able 3b. Red Flags raised via SafeCare</w:t>
      </w:r>
      <w:r w:rsidR="00841F59" w:rsidRPr="00037267">
        <w:rPr>
          <w:rFonts w:ascii="Arial" w:hAnsi="Arial" w:cs="Arial"/>
          <w:b/>
          <w:color w:val="005EB8"/>
          <w:lang w:eastAsia="en-GB"/>
        </w:rPr>
        <w:t xml:space="preserve"> </w:t>
      </w:r>
      <w:r w:rsidR="00AD2028" w:rsidRPr="00037267">
        <w:rPr>
          <w:rFonts w:ascii="Arial" w:hAnsi="Arial" w:cs="Arial"/>
          <w:b/>
          <w:color w:val="005EB8"/>
          <w:lang w:eastAsia="en-GB"/>
        </w:rPr>
        <w:t>t</w:t>
      </w:r>
      <w:r w:rsidR="00EE6829" w:rsidRPr="00037267">
        <w:rPr>
          <w:rFonts w:ascii="Arial" w:hAnsi="Arial" w:cs="Arial"/>
          <w:b/>
          <w:color w:val="005EB8"/>
          <w:lang w:eastAsia="en-GB"/>
        </w:rPr>
        <w:t>rend</w:t>
      </w:r>
      <w:r w:rsidR="00AD2028" w:rsidRPr="00037267">
        <w:rPr>
          <w:rFonts w:ascii="Arial" w:hAnsi="Arial" w:cs="Arial"/>
          <w:b/>
          <w:color w:val="005EB8"/>
          <w:lang w:eastAsia="en-GB"/>
        </w:rPr>
        <w:t xml:space="preserve"> </w:t>
      </w:r>
      <w:r w:rsidR="00E648C6" w:rsidRPr="00037267">
        <w:rPr>
          <w:rFonts w:ascii="Arial" w:hAnsi="Arial" w:cs="Arial"/>
          <w:b/>
          <w:color w:val="005EB8"/>
          <w:lang w:eastAsia="en-GB"/>
        </w:rPr>
        <w:t>Dec</w:t>
      </w:r>
      <w:r w:rsidR="00206CA8" w:rsidRPr="00037267">
        <w:rPr>
          <w:rFonts w:ascii="Arial" w:hAnsi="Arial" w:cs="Arial"/>
          <w:b/>
          <w:color w:val="005EB8"/>
          <w:lang w:eastAsia="en-GB"/>
        </w:rPr>
        <w:t xml:space="preserve">-24 – </w:t>
      </w:r>
      <w:r w:rsidR="00E648C6" w:rsidRPr="00037267">
        <w:rPr>
          <w:rFonts w:ascii="Arial" w:hAnsi="Arial" w:cs="Arial"/>
          <w:b/>
          <w:color w:val="005EB8"/>
          <w:lang w:eastAsia="en-GB"/>
        </w:rPr>
        <w:t>Nov</w:t>
      </w:r>
      <w:r w:rsidR="00206CA8" w:rsidRPr="00037267">
        <w:rPr>
          <w:rFonts w:ascii="Arial" w:hAnsi="Arial" w:cs="Arial"/>
          <w:b/>
          <w:color w:val="005EB8"/>
          <w:lang w:eastAsia="en-GB"/>
        </w:rPr>
        <w:t>-25</w:t>
      </w:r>
    </w:p>
    <w:p w14:paraId="79EE940A" w14:textId="77777777" w:rsidR="002344E1" w:rsidRPr="00037267" w:rsidRDefault="002344E1" w:rsidP="00EE6829">
      <w:pPr>
        <w:spacing w:after="0"/>
        <w:rPr>
          <w:rFonts w:ascii="Arial" w:hAnsi="Arial" w:cs="Arial"/>
          <w:b/>
          <w:color w:val="005EB8"/>
        </w:rPr>
      </w:pPr>
    </w:p>
    <w:p w14:paraId="3EDB8EF6" w14:textId="7639A8B7" w:rsidR="004A195F" w:rsidRPr="00037267" w:rsidRDefault="00E648C6" w:rsidP="0040343C">
      <w:pPr>
        <w:spacing w:after="0"/>
        <w:rPr>
          <w:rFonts w:ascii="Arial" w:hAnsi="Arial" w:cs="Arial"/>
          <w:b/>
          <w:color w:val="005EB8"/>
        </w:rPr>
      </w:pPr>
      <w:r w:rsidRPr="00037267">
        <w:rPr>
          <w:rFonts w:ascii="Arial" w:hAnsi="Arial" w:cs="Arial"/>
          <w:b/>
          <w:noProof/>
          <w:color w:val="005EB8"/>
        </w:rPr>
        <w:drawing>
          <wp:inline distT="0" distB="0" distL="0" distR="0" wp14:anchorId="5A5D6BA2" wp14:editId="53786900">
            <wp:extent cx="5302250" cy="3462867"/>
            <wp:effectExtent l="0" t="0" r="0" b="4445"/>
            <wp:docPr id="9971579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20279" cy="3474642"/>
                    </a:xfrm>
                    <a:prstGeom prst="rect">
                      <a:avLst/>
                    </a:prstGeom>
                    <a:noFill/>
                  </pic:spPr>
                </pic:pic>
              </a:graphicData>
            </a:graphic>
          </wp:inline>
        </w:drawing>
      </w:r>
    </w:p>
    <w:p w14:paraId="4E049375" w14:textId="77777777" w:rsidR="00FF61B1" w:rsidRPr="00037267" w:rsidRDefault="00FF61B1" w:rsidP="0040343C">
      <w:pPr>
        <w:spacing w:after="0"/>
        <w:rPr>
          <w:rFonts w:ascii="Arial" w:hAnsi="Arial" w:cs="Arial"/>
          <w:b/>
          <w:color w:val="005EB8"/>
        </w:rPr>
      </w:pPr>
    </w:p>
    <w:p w14:paraId="7AB1705F" w14:textId="509DAE0D" w:rsidR="00C27C2E" w:rsidRPr="00037267" w:rsidRDefault="00C27C2E" w:rsidP="00C27C2E">
      <w:pPr>
        <w:spacing w:after="0"/>
        <w:rPr>
          <w:rFonts w:ascii="Arial" w:hAnsi="Arial" w:cs="Arial"/>
          <w:b/>
          <w:color w:val="005EB8"/>
        </w:rPr>
      </w:pPr>
      <w:r w:rsidRPr="00037267">
        <w:rPr>
          <w:rFonts w:ascii="Arial" w:hAnsi="Arial" w:cs="Arial"/>
          <w:b/>
          <w:color w:val="005EB8"/>
        </w:rPr>
        <w:t>Table 3c. Datix for lack of suitably trained / skilled staff</w:t>
      </w:r>
    </w:p>
    <w:p w14:paraId="450553D4" w14:textId="6098E946" w:rsidR="00C27C2E" w:rsidRPr="00037267" w:rsidRDefault="00D84F40" w:rsidP="00D84F40">
      <w:pPr>
        <w:spacing w:after="0"/>
        <w:rPr>
          <w:rFonts w:ascii="Arial" w:hAnsi="Arial" w:cs="Arial"/>
          <w:b/>
          <w:color w:val="005EB8"/>
        </w:rPr>
      </w:pPr>
      <w:r w:rsidRPr="00355A93">
        <w:rPr>
          <w:rFonts w:ascii="Arial" w:hAnsi="Arial" w:cs="Arial"/>
        </w:rPr>
        <w:t>In</w:t>
      </w:r>
      <w:r w:rsidRPr="00355A93">
        <w:rPr>
          <w:rFonts w:ascii="Arial" w:hAnsi="Arial" w:cs="Arial"/>
          <w:b/>
          <w:bCs/>
        </w:rPr>
        <w:t xml:space="preserve"> </w:t>
      </w:r>
      <w:r w:rsidRPr="00355A93">
        <w:rPr>
          <w:rStyle w:val="Strong"/>
          <w:rFonts w:ascii="Arial" w:hAnsi="Arial" w:cs="Arial"/>
          <w:b w:val="0"/>
          <w:bCs w:val="0"/>
        </w:rPr>
        <w:t>November</w:t>
      </w:r>
      <w:r w:rsidRPr="00355A93">
        <w:rPr>
          <w:rFonts w:ascii="Arial" w:hAnsi="Arial" w:cs="Arial"/>
          <w:b/>
          <w:bCs/>
        </w:rPr>
        <w:t xml:space="preserve">, </w:t>
      </w:r>
      <w:r w:rsidRPr="00355A93">
        <w:rPr>
          <w:rStyle w:val="Strong"/>
          <w:rFonts w:ascii="Arial" w:hAnsi="Arial" w:cs="Arial"/>
          <w:b w:val="0"/>
          <w:bCs w:val="0"/>
        </w:rPr>
        <w:t>48 staffing-related incidents</w:t>
      </w:r>
      <w:r w:rsidRPr="00355A93">
        <w:rPr>
          <w:rFonts w:ascii="Arial" w:hAnsi="Arial" w:cs="Arial"/>
          <w:b/>
          <w:bCs/>
        </w:rPr>
        <w:t xml:space="preserve"> </w:t>
      </w:r>
      <w:r w:rsidRPr="00355A93">
        <w:rPr>
          <w:rFonts w:ascii="Arial" w:hAnsi="Arial" w:cs="Arial"/>
        </w:rPr>
        <w:t>were reported (</w:t>
      </w:r>
      <w:r w:rsidRPr="00355A93">
        <w:rPr>
          <w:rStyle w:val="Strong"/>
          <w:rFonts w:ascii="Arial" w:hAnsi="Arial" w:cs="Arial"/>
          <w:b w:val="0"/>
          <w:bCs w:val="0"/>
        </w:rPr>
        <w:t>45 nursing, 3 maternity</w:t>
      </w:r>
      <w:r w:rsidRPr="00355A93">
        <w:rPr>
          <w:rFonts w:ascii="Arial" w:hAnsi="Arial" w:cs="Arial"/>
        </w:rPr>
        <w:t>). The highest reporting areas were</w:t>
      </w:r>
      <w:r w:rsidRPr="00355A93">
        <w:rPr>
          <w:rFonts w:ascii="Arial" w:hAnsi="Arial" w:cs="Arial"/>
          <w:b/>
          <w:bCs/>
        </w:rPr>
        <w:t xml:space="preserve"> </w:t>
      </w:r>
      <w:r w:rsidRPr="00355A93">
        <w:rPr>
          <w:rStyle w:val="Strong"/>
          <w:rFonts w:ascii="Arial" w:hAnsi="Arial" w:cs="Arial"/>
          <w:b w:val="0"/>
          <w:bCs w:val="0"/>
        </w:rPr>
        <w:t>Tye Green (11)</w:t>
      </w:r>
      <w:r w:rsidRPr="00355A93">
        <w:rPr>
          <w:rFonts w:ascii="Arial" w:hAnsi="Arial" w:cs="Arial"/>
          <w:b/>
          <w:bCs/>
        </w:rPr>
        <w:t xml:space="preserve">, </w:t>
      </w:r>
      <w:r w:rsidRPr="00355A93">
        <w:rPr>
          <w:rStyle w:val="Strong"/>
          <w:rFonts w:ascii="Arial" w:hAnsi="Arial" w:cs="Arial"/>
          <w:b w:val="0"/>
          <w:bCs w:val="0"/>
        </w:rPr>
        <w:t>Winter (6)</w:t>
      </w:r>
      <w:r w:rsidRPr="00355A93">
        <w:rPr>
          <w:rFonts w:ascii="Arial" w:hAnsi="Arial" w:cs="Arial"/>
          <w:b/>
          <w:bCs/>
        </w:rPr>
        <w:t xml:space="preserve">, </w:t>
      </w:r>
      <w:r w:rsidRPr="00355A93">
        <w:rPr>
          <w:rFonts w:ascii="Arial" w:hAnsi="Arial" w:cs="Arial"/>
        </w:rPr>
        <w:t>and</w:t>
      </w:r>
      <w:r w:rsidRPr="00355A93">
        <w:rPr>
          <w:rFonts w:ascii="Arial" w:hAnsi="Arial" w:cs="Arial"/>
          <w:b/>
          <w:bCs/>
        </w:rPr>
        <w:t xml:space="preserve"> </w:t>
      </w:r>
      <w:r w:rsidRPr="00355A93">
        <w:rPr>
          <w:rStyle w:val="Strong"/>
          <w:rFonts w:ascii="Arial" w:hAnsi="Arial" w:cs="Arial"/>
          <w:b w:val="0"/>
          <w:bCs w:val="0"/>
        </w:rPr>
        <w:t>Ray and Fleming (4 each)</w:t>
      </w:r>
      <w:r w:rsidRPr="00355A93">
        <w:rPr>
          <w:rFonts w:ascii="Arial" w:hAnsi="Arial" w:cs="Arial"/>
          <w:b/>
          <w:bCs/>
        </w:rPr>
        <w:t xml:space="preserve">. </w:t>
      </w:r>
      <w:r w:rsidRPr="00355A93">
        <w:rPr>
          <w:rFonts w:ascii="Arial" w:hAnsi="Arial" w:cs="Arial"/>
        </w:rPr>
        <w:t xml:space="preserve">Collectively, these three areas account for </w:t>
      </w:r>
      <w:r w:rsidRPr="00355A93">
        <w:rPr>
          <w:rStyle w:val="Strong"/>
          <w:rFonts w:ascii="Arial" w:hAnsi="Arial" w:cs="Arial"/>
          <w:b w:val="0"/>
          <w:bCs w:val="0"/>
        </w:rPr>
        <w:t>nearly half of all staffing-related incident reports</w:t>
      </w:r>
      <w:r w:rsidRPr="00355A93">
        <w:rPr>
          <w:rFonts w:ascii="Arial" w:hAnsi="Arial" w:cs="Arial"/>
        </w:rPr>
        <w:t>, indicating concentrated pressure points requiring continued oversight and targeted support</w:t>
      </w:r>
      <w:r w:rsidR="00A25A23" w:rsidRPr="00037267">
        <w:rPr>
          <w:rFonts w:ascii="Arial" w:hAnsi="Arial" w:cs="Arial"/>
          <w:bCs/>
        </w:rPr>
        <w:t>.</w:t>
      </w:r>
      <w:r w:rsidR="00E06815" w:rsidRPr="00037267">
        <w:rPr>
          <w:rFonts w:ascii="Arial" w:hAnsi="Arial" w:cs="Arial"/>
          <w:b/>
          <w:noProof/>
          <w:color w:val="005EB8"/>
        </w:rPr>
        <w:drawing>
          <wp:inline distT="0" distB="0" distL="0" distR="0" wp14:anchorId="42A4BFFF" wp14:editId="4DA72764">
            <wp:extent cx="5302250" cy="2802463"/>
            <wp:effectExtent l="0" t="0" r="0" b="0"/>
            <wp:docPr id="125509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18698" cy="2811157"/>
                    </a:xfrm>
                    <a:prstGeom prst="rect">
                      <a:avLst/>
                    </a:prstGeom>
                    <a:noFill/>
                  </pic:spPr>
                </pic:pic>
              </a:graphicData>
            </a:graphic>
          </wp:inline>
        </w:drawing>
      </w:r>
    </w:p>
    <w:p w14:paraId="541861F2" w14:textId="77777777" w:rsidR="00C27C2E" w:rsidRPr="00037267" w:rsidRDefault="00C27C2E" w:rsidP="0040343C">
      <w:pPr>
        <w:spacing w:after="0"/>
        <w:rPr>
          <w:rFonts w:ascii="Arial" w:hAnsi="Arial" w:cs="Arial"/>
          <w:b/>
          <w:color w:val="005EB8"/>
        </w:rPr>
      </w:pPr>
    </w:p>
    <w:p w14:paraId="0DEC80D2" w14:textId="7DFD5123" w:rsidR="0040343C" w:rsidRPr="00037267" w:rsidRDefault="0040343C" w:rsidP="0040343C">
      <w:pPr>
        <w:spacing w:after="0"/>
        <w:rPr>
          <w:rFonts w:ascii="Arial" w:hAnsi="Arial" w:cs="Arial"/>
          <w:b/>
          <w:color w:val="005EB8"/>
        </w:rPr>
      </w:pPr>
      <w:r w:rsidRPr="00037267">
        <w:rPr>
          <w:rFonts w:ascii="Arial" w:hAnsi="Arial" w:cs="Arial"/>
          <w:b/>
          <w:color w:val="005EB8"/>
        </w:rPr>
        <w:t>Redeployment</w:t>
      </w:r>
    </w:p>
    <w:p w14:paraId="65EC899A" w14:textId="77777777" w:rsidR="00D84F40" w:rsidRPr="002D2F1B" w:rsidRDefault="00D84F40" w:rsidP="00D84F40">
      <w:pPr>
        <w:spacing w:before="100" w:beforeAutospacing="1" w:after="100" w:afterAutospacing="1" w:line="240" w:lineRule="auto"/>
        <w:rPr>
          <w:rFonts w:ascii="Arial" w:eastAsia="Times New Roman" w:hAnsi="Arial" w:cs="Arial"/>
          <w:lang w:eastAsia="en-GB"/>
        </w:rPr>
      </w:pPr>
      <w:r w:rsidRPr="002D2F1B">
        <w:rPr>
          <w:rFonts w:ascii="Arial" w:eastAsia="Times New Roman" w:hAnsi="Arial" w:cs="Arial"/>
          <w:lang w:eastAsia="en-GB"/>
        </w:rPr>
        <w:t xml:space="preserve">Redeployment continues to support safe staffing through daily safety huddles. In November, 148 substantive redeployments were recorded, a reduction of 10 compared to October, and a continued downward trend from 281 in August and 286 in September (Table 5). This represents a </w:t>
      </w:r>
      <w:r w:rsidRPr="002D2F1B">
        <w:rPr>
          <w:rFonts w:ascii="Arial" w:eastAsia="Times New Roman" w:hAnsi="Arial" w:cs="Arial"/>
          <w:lang w:eastAsia="en-GB"/>
        </w:rPr>
        <w:lastRenderedPageBreak/>
        <w:t>47% reduction since September, suggesting improved roster alignment and reduced reliance on cross-cover.</w:t>
      </w:r>
    </w:p>
    <w:p w14:paraId="3E67BB8D" w14:textId="77777777" w:rsidR="00D84F40" w:rsidRPr="002D2F1B" w:rsidRDefault="00D84F40" w:rsidP="00D84F40">
      <w:pPr>
        <w:spacing w:before="100" w:beforeAutospacing="1" w:after="100" w:afterAutospacing="1" w:line="240" w:lineRule="auto"/>
        <w:rPr>
          <w:rFonts w:ascii="Arial" w:eastAsia="Times New Roman" w:hAnsi="Arial" w:cs="Arial"/>
          <w:lang w:eastAsia="en-GB"/>
        </w:rPr>
      </w:pPr>
      <w:r w:rsidRPr="002D2F1B">
        <w:rPr>
          <w:rFonts w:ascii="Arial" w:eastAsia="Times New Roman" w:hAnsi="Arial" w:cs="Arial"/>
          <w:lang w:eastAsia="en-GB"/>
        </w:rPr>
        <w:t>Tye Green, John Snow and AAU were the highest redeploying wards, while Nightingale and the Emergency Department were the largest net receivers (Table 4). Redeployed hours accounted for 1.06% of substantive hours and 1.87% of total hours worked (Tables 6 and 7), excluding agency, bank and multi-post holders.</w:t>
      </w:r>
    </w:p>
    <w:p w14:paraId="1040DDF7" w14:textId="07996178" w:rsidR="00C0154D" w:rsidRPr="00D84F40" w:rsidRDefault="00D84F40" w:rsidP="00D84F40">
      <w:pPr>
        <w:spacing w:before="100" w:beforeAutospacing="1" w:after="100" w:afterAutospacing="1" w:line="240" w:lineRule="auto"/>
        <w:rPr>
          <w:rFonts w:ascii="Arial" w:eastAsia="Times New Roman" w:hAnsi="Arial" w:cs="Arial"/>
          <w:lang w:eastAsia="en-GB"/>
        </w:rPr>
      </w:pPr>
      <w:r w:rsidRPr="002D2F1B">
        <w:rPr>
          <w:rFonts w:ascii="Arial" w:eastAsia="Times New Roman" w:hAnsi="Arial" w:cs="Arial"/>
          <w:lang w:eastAsia="en-GB"/>
        </w:rPr>
        <w:t>Governance remains robust, with all redeployments clinically risk-assessed and recorded in SafeCare. Further reductions are anticipated as establishment review changes are embedded within roster templates.</w:t>
      </w:r>
    </w:p>
    <w:p w14:paraId="71774963" w14:textId="30E88FC2" w:rsidR="00A44835" w:rsidRPr="00037267" w:rsidRDefault="008F7DE9" w:rsidP="00633591">
      <w:pPr>
        <w:spacing w:after="0"/>
        <w:rPr>
          <w:rFonts w:ascii="Arial" w:hAnsi="Arial" w:cs="Arial"/>
          <w:b/>
          <w:noProof/>
          <w:color w:val="005EB8"/>
        </w:rPr>
      </w:pPr>
      <w:r w:rsidRPr="00037267">
        <w:rPr>
          <w:rFonts w:ascii="Arial" w:hAnsi="Arial" w:cs="Arial"/>
          <w:b/>
          <w:noProof/>
          <w:color w:val="005EB8"/>
        </w:rPr>
        <w:t xml:space="preserve">Table </w:t>
      </w:r>
      <w:r w:rsidR="00CC4657" w:rsidRPr="00037267">
        <w:rPr>
          <w:rFonts w:ascii="Arial" w:hAnsi="Arial" w:cs="Arial"/>
          <w:b/>
          <w:noProof/>
          <w:color w:val="005EB8"/>
        </w:rPr>
        <w:t>4</w:t>
      </w:r>
      <w:r w:rsidRPr="00037267">
        <w:rPr>
          <w:rFonts w:ascii="Arial" w:hAnsi="Arial" w:cs="Arial"/>
          <w:b/>
          <w:noProof/>
          <w:color w:val="005EB8"/>
        </w:rPr>
        <w:t>. Hours of su</w:t>
      </w:r>
      <w:r w:rsidR="002D6B3C" w:rsidRPr="00037267">
        <w:rPr>
          <w:rFonts w:ascii="Arial" w:hAnsi="Arial" w:cs="Arial"/>
          <w:b/>
          <w:noProof/>
          <w:color w:val="005EB8"/>
        </w:rPr>
        <w:t>b</w:t>
      </w:r>
      <w:r w:rsidRPr="00037267">
        <w:rPr>
          <w:rFonts w:ascii="Arial" w:hAnsi="Arial" w:cs="Arial"/>
          <w:b/>
          <w:noProof/>
          <w:color w:val="005EB8"/>
        </w:rPr>
        <w:t xml:space="preserve">stantive staff redeployed </w:t>
      </w:r>
      <w:r w:rsidR="0057060E" w:rsidRPr="00037267">
        <w:rPr>
          <w:rFonts w:ascii="Arial" w:hAnsi="Arial" w:cs="Arial"/>
          <w:b/>
          <w:bCs/>
          <w:noProof/>
          <w:color w:val="005EB8"/>
        </w:rPr>
        <w:t>Novem</w:t>
      </w:r>
      <w:r w:rsidR="00BC439D" w:rsidRPr="00037267">
        <w:rPr>
          <w:rFonts w:ascii="Arial" w:hAnsi="Arial" w:cs="Arial"/>
          <w:b/>
          <w:noProof/>
          <w:color w:val="005EB8"/>
        </w:rPr>
        <w:t>ber</w:t>
      </w:r>
      <w:r w:rsidR="003B548E" w:rsidRPr="00037267">
        <w:rPr>
          <w:rFonts w:ascii="Arial" w:hAnsi="Arial" w:cs="Arial"/>
          <w:b/>
          <w:noProof/>
          <w:color w:val="005EB8"/>
        </w:rPr>
        <w:t xml:space="preserve"> </w:t>
      </w:r>
      <w:r w:rsidR="006165B8" w:rsidRPr="00037267">
        <w:rPr>
          <w:rFonts w:ascii="Arial" w:hAnsi="Arial" w:cs="Arial"/>
          <w:b/>
          <w:noProof/>
          <w:color w:val="005EB8"/>
        </w:rPr>
        <w:t>2025</w:t>
      </w:r>
      <w:r w:rsidR="00CA6A5B" w:rsidRPr="00037267">
        <w:rPr>
          <w:rFonts w:ascii="Arial" w:hAnsi="Arial" w:cs="Arial"/>
          <w:b/>
          <w:noProof/>
          <w:color w:val="005EB8"/>
        </w:rPr>
        <w:t xml:space="preserve"> </w:t>
      </w:r>
      <w:bookmarkStart w:id="18" w:name="_Hlk187911104"/>
    </w:p>
    <w:p w14:paraId="25190EE2" w14:textId="36A044FF" w:rsidR="00365A27" w:rsidRPr="00037267" w:rsidRDefault="00365A27" w:rsidP="00633591">
      <w:pPr>
        <w:spacing w:after="0"/>
        <w:rPr>
          <w:rFonts w:ascii="Arial" w:hAnsi="Arial" w:cs="Arial"/>
          <w:b/>
          <w:noProof/>
          <w:color w:val="005EB8"/>
        </w:rPr>
      </w:pPr>
    </w:p>
    <w:bookmarkEnd w:id="16"/>
    <w:bookmarkEnd w:id="17"/>
    <w:bookmarkEnd w:id="18"/>
    <w:p w14:paraId="5286794D" w14:textId="5DB0D619" w:rsidR="00C27C2E" w:rsidRPr="00037267" w:rsidRDefault="00C80A67" w:rsidP="0082725E">
      <w:pPr>
        <w:spacing w:after="0"/>
        <w:rPr>
          <w:rFonts w:ascii="Arial" w:hAnsi="Arial" w:cs="Arial"/>
          <w:b/>
          <w:noProof/>
          <w:color w:val="005EB8"/>
        </w:rPr>
      </w:pPr>
      <w:r w:rsidRPr="00037267">
        <w:rPr>
          <w:rFonts w:ascii="Arial" w:hAnsi="Arial" w:cs="Arial"/>
          <w:b/>
          <w:noProof/>
          <w:color w:val="005EB8"/>
        </w:rPr>
        <w:drawing>
          <wp:inline distT="0" distB="0" distL="0" distR="0" wp14:anchorId="7FEAB275" wp14:editId="4B0A2C40">
            <wp:extent cx="5328586" cy="3333750"/>
            <wp:effectExtent l="0" t="0" r="5715" b="0"/>
            <wp:docPr id="1079034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0884" cy="3341444"/>
                    </a:xfrm>
                    <a:prstGeom prst="rect">
                      <a:avLst/>
                    </a:prstGeom>
                    <a:noFill/>
                  </pic:spPr>
                </pic:pic>
              </a:graphicData>
            </a:graphic>
          </wp:inline>
        </w:drawing>
      </w:r>
    </w:p>
    <w:p w14:paraId="6F94E7D7" w14:textId="77777777" w:rsidR="00C27C2E" w:rsidRPr="00037267" w:rsidRDefault="00C27C2E" w:rsidP="0082725E">
      <w:pPr>
        <w:spacing w:after="0"/>
        <w:rPr>
          <w:rFonts w:ascii="Arial" w:hAnsi="Arial" w:cs="Arial"/>
          <w:b/>
          <w:noProof/>
          <w:color w:val="005EB8"/>
        </w:rPr>
      </w:pPr>
    </w:p>
    <w:p w14:paraId="26F26505" w14:textId="0BE8731D" w:rsidR="0082725E" w:rsidRPr="00037267" w:rsidRDefault="0082725E" w:rsidP="0082725E">
      <w:pPr>
        <w:spacing w:after="0"/>
        <w:rPr>
          <w:rFonts w:ascii="Arial" w:hAnsi="Arial" w:cs="Arial"/>
          <w:b/>
          <w:noProof/>
          <w:color w:val="005EB8"/>
        </w:rPr>
      </w:pPr>
      <w:r w:rsidRPr="00037267">
        <w:rPr>
          <w:rFonts w:ascii="Arial" w:hAnsi="Arial" w:cs="Arial"/>
          <w:b/>
          <w:noProof/>
          <w:color w:val="005EB8"/>
        </w:rPr>
        <w:t>Table 5. Substantive staff redeployment trend</w:t>
      </w:r>
    </w:p>
    <w:p w14:paraId="3C1A48B5" w14:textId="77777777" w:rsidR="0082725E" w:rsidRPr="00037267" w:rsidRDefault="0082725E" w:rsidP="0082725E">
      <w:pPr>
        <w:spacing w:after="0"/>
        <w:rPr>
          <w:rFonts w:ascii="Arial" w:hAnsi="Arial" w:cs="Arial"/>
          <w:b/>
          <w:noProof/>
          <w:color w:val="005EB8"/>
        </w:rPr>
      </w:pPr>
    </w:p>
    <w:p w14:paraId="1FBBCB9D" w14:textId="7F6F3F8F" w:rsidR="0082725E" w:rsidRPr="00037267" w:rsidRDefault="00C80A67" w:rsidP="0082725E">
      <w:pPr>
        <w:spacing w:after="0"/>
        <w:rPr>
          <w:rFonts w:ascii="Arial" w:hAnsi="Arial" w:cs="Arial"/>
          <w:b/>
          <w:noProof/>
          <w:color w:val="005EB8"/>
        </w:rPr>
      </w:pPr>
      <w:r w:rsidRPr="00037267">
        <w:rPr>
          <w:rFonts w:ascii="Arial" w:hAnsi="Arial" w:cs="Arial"/>
          <w:b/>
          <w:noProof/>
          <w:color w:val="005EB8"/>
        </w:rPr>
        <w:drawing>
          <wp:inline distT="0" distB="0" distL="0" distR="0" wp14:anchorId="75BA7329" wp14:editId="12722879">
            <wp:extent cx="5340350" cy="1254449"/>
            <wp:effectExtent l="0" t="0" r="0" b="3175"/>
            <wp:docPr id="1662818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92139" cy="1266614"/>
                    </a:xfrm>
                    <a:prstGeom prst="rect">
                      <a:avLst/>
                    </a:prstGeom>
                    <a:noFill/>
                  </pic:spPr>
                </pic:pic>
              </a:graphicData>
            </a:graphic>
          </wp:inline>
        </w:drawing>
      </w:r>
    </w:p>
    <w:p w14:paraId="3FFC99A2" w14:textId="77777777" w:rsidR="0082725E" w:rsidRPr="00037267" w:rsidRDefault="0082725E" w:rsidP="0082725E">
      <w:pPr>
        <w:spacing w:after="0"/>
        <w:rPr>
          <w:rFonts w:ascii="Arial" w:hAnsi="Arial" w:cs="Arial"/>
          <w:b/>
          <w:noProof/>
          <w:color w:val="005EB8"/>
        </w:rPr>
      </w:pPr>
      <w:r w:rsidRPr="00037267">
        <w:rPr>
          <w:rFonts w:ascii="Arial" w:hAnsi="Arial" w:cs="Arial"/>
          <w:b/>
          <w:noProof/>
          <w:color w:val="005EB8"/>
        </w:rPr>
        <w:t xml:space="preserve">Table 6. % of substantive staff redeployed as % of total hours worked </w:t>
      </w:r>
    </w:p>
    <w:p w14:paraId="4F0722CC" w14:textId="77777777" w:rsidR="00DD66F4" w:rsidRPr="00037267" w:rsidRDefault="00DD66F4" w:rsidP="0082725E">
      <w:pPr>
        <w:spacing w:after="0"/>
        <w:rPr>
          <w:rFonts w:ascii="Arial" w:hAnsi="Arial" w:cs="Arial"/>
          <w:b/>
          <w:noProof/>
          <w:color w:val="005EB8"/>
        </w:rPr>
      </w:pPr>
    </w:p>
    <w:tbl>
      <w:tblPr>
        <w:tblStyle w:val="TableGrid"/>
        <w:tblW w:w="0" w:type="auto"/>
        <w:tblLook w:val="04A0" w:firstRow="1" w:lastRow="0" w:firstColumn="1" w:lastColumn="0" w:noHBand="0" w:noVBand="1"/>
      </w:tblPr>
      <w:tblGrid>
        <w:gridCol w:w="3155"/>
        <w:gridCol w:w="3155"/>
        <w:gridCol w:w="3155"/>
      </w:tblGrid>
      <w:tr w:rsidR="0082725E" w:rsidRPr="00037267" w14:paraId="6C4FB756" w14:textId="77777777" w:rsidTr="00D07544">
        <w:tc>
          <w:tcPr>
            <w:tcW w:w="3155" w:type="dxa"/>
            <w:shd w:val="clear" w:color="auto" w:fill="B4C6E7" w:themeFill="accent1" w:themeFillTint="66"/>
          </w:tcPr>
          <w:p w14:paraId="589EC0C8" w14:textId="77777777" w:rsidR="0082725E" w:rsidRPr="00037267" w:rsidRDefault="0082725E" w:rsidP="00B76D21">
            <w:pPr>
              <w:spacing w:after="0"/>
              <w:jc w:val="center"/>
              <w:rPr>
                <w:rFonts w:ascii="Arial" w:hAnsi="Arial" w:cs="Arial"/>
              </w:rPr>
            </w:pPr>
            <w:r w:rsidRPr="00037267">
              <w:rPr>
                <w:rFonts w:ascii="Arial" w:hAnsi="Arial" w:cs="Arial"/>
              </w:rPr>
              <w:t>Substantive staff hours redeployed</w:t>
            </w:r>
          </w:p>
        </w:tc>
        <w:tc>
          <w:tcPr>
            <w:tcW w:w="3155" w:type="dxa"/>
            <w:shd w:val="clear" w:color="auto" w:fill="B4C6E7" w:themeFill="accent1" w:themeFillTint="66"/>
          </w:tcPr>
          <w:p w14:paraId="5D56914C" w14:textId="56CB93E3" w:rsidR="0082725E" w:rsidRPr="00037267" w:rsidRDefault="0082725E" w:rsidP="00B76D21">
            <w:pPr>
              <w:spacing w:after="0"/>
              <w:jc w:val="center"/>
              <w:rPr>
                <w:rFonts w:ascii="Arial" w:hAnsi="Arial" w:cs="Arial"/>
              </w:rPr>
            </w:pPr>
            <w:r w:rsidRPr="00037267">
              <w:rPr>
                <w:rFonts w:ascii="Arial" w:hAnsi="Arial" w:cs="Arial"/>
              </w:rPr>
              <w:t>Total hours worked (inc</w:t>
            </w:r>
            <w:r w:rsidR="009F7C9B" w:rsidRPr="00037267">
              <w:rPr>
                <w:rFonts w:ascii="Arial" w:hAnsi="Arial" w:cs="Arial"/>
              </w:rPr>
              <w:t>.</w:t>
            </w:r>
            <w:r w:rsidRPr="00037267">
              <w:rPr>
                <w:rFonts w:ascii="Arial" w:hAnsi="Arial" w:cs="Arial"/>
              </w:rPr>
              <w:t xml:space="preserve"> bank and agency)</w:t>
            </w:r>
          </w:p>
        </w:tc>
        <w:tc>
          <w:tcPr>
            <w:tcW w:w="3155" w:type="dxa"/>
            <w:shd w:val="clear" w:color="auto" w:fill="B4C6E7" w:themeFill="accent1" w:themeFillTint="66"/>
          </w:tcPr>
          <w:p w14:paraId="5D10E5E0" w14:textId="77777777" w:rsidR="0082725E" w:rsidRPr="00037267" w:rsidRDefault="0082725E" w:rsidP="00B76D21">
            <w:pPr>
              <w:spacing w:after="0"/>
              <w:jc w:val="center"/>
              <w:rPr>
                <w:rFonts w:ascii="Arial" w:hAnsi="Arial" w:cs="Arial"/>
              </w:rPr>
            </w:pPr>
            <w:r w:rsidRPr="00037267">
              <w:rPr>
                <w:rFonts w:ascii="Arial" w:hAnsi="Arial" w:cs="Arial"/>
              </w:rPr>
              <w:t>% of total hours worked / substantive staff redeployed</w:t>
            </w:r>
          </w:p>
        </w:tc>
      </w:tr>
      <w:tr w:rsidR="0082725E" w:rsidRPr="00037267" w14:paraId="3EFD842D" w14:textId="77777777" w:rsidTr="00D07544">
        <w:trPr>
          <w:trHeight w:val="421"/>
        </w:trPr>
        <w:tc>
          <w:tcPr>
            <w:tcW w:w="3155" w:type="dxa"/>
            <w:vAlign w:val="center"/>
          </w:tcPr>
          <w:p w14:paraId="49394CD6" w14:textId="25733260" w:rsidR="0082725E" w:rsidRPr="00037267" w:rsidRDefault="00792E72" w:rsidP="00B76D21">
            <w:pPr>
              <w:spacing w:after="0"/>
              <w:jc w:val="center"/>
              <w:rPr>
                <w:rFonts w:ascii="Arial" w:hAnsi="Arial" w:cs="Arial"/>
                <w:sz w:val="20"/>
                <w:szCs w:val="20"/>
              </w:rPr>
            </w:pPr>
            <w:r w:rsidRPr="00037267">
              <w:rPr>
                <w:rFonts w:ascii="Arial" w:hAnsi="Arial" w:cs="Arial"/>
                <w:sz w:val="20"/>
                <w:szCs w:val="20"/>
              </w:rPr>
              <w:t>1496.1</w:t>
            </w:r>
          </w:p>
        </w:tc>
        <w:tc>
          <w:tcPr>
            <w:tcW w:w="3155" w:type="dxa"/>
            <w:vAlign w:val="center"/>
          </w:tcPr>
          <w:p w14:paraId="36458B7A" w14:textId="2E18C842" w:rsidR="0082725E" w:rsidRPr="00037267" w:rsidRDefault="00C0154D" w:rsidP="00B76D21">
            <w:pPr>
              <w:spacing w:after="0"/>
              <w:jc w:val="center"/>
              <w:rPr>
                <w:rFonts w:ascii="Arial" w:hAnsi="Arial" w:cs="Arial"/>
                <w:sz w:val="20"/>
                <w:szCs w:val="20"/>
              </w:rPr>
            </w:pPr>
            <w:r w:rsidRPr="00037267">
              <w:rPr>
                <w:rFonts w:ascii="Arial" w:hAnsi="Arial" w:cs="Arial"/>
                <w:sz w:val="20"/>
                <w:szCs w:val="20"/>
              </w:rPr>
              <w:t>14</w:t>
            </w:r>
            <w:r w:rsidR="00916D16" w:rsidRPr="00037267">
              <w:rPr>
                <w:rFonts w:ascii="Arial" w:hAnsi="Arial" w:cs="Arial"/>
                <w:sz w:val="20"/>
                <w:szCs w:val="20"/>
              </w:rPr>
              <w:t>0763</w:t>
            </w:r>
          </w:p>
        </w:tc>
        <w:tc>
          <w:tcPr>
            <w:tcW w:w="3155" w:type="dxa"/>
            <w:vAlign w:val="center"/>
          </w:tcPr>
          <w:p w14:paraId="2504AA14" w14:textId="11303AC1" w:rsidR="0082725E" w:rsidRPr="00037267" w:rsidRDefault="00C0154D" w:rsidP="00B76D21">
            <w:pPr>
              <w:spacing w:after="0"/>
              <w:jc w:val="center"/>
              <w:rPr>
                <w:rFonts w:ascii="Arial" w:hAnsi="Arial" w:cs="Arial"/>
                <w:sz w:val="20"/>
                <w:szCs w:val="20"/>
              </w:rPr>
            </w:pPr>
            <w:r w:rsidRPr="00037267">
              <w:rPr>
                <w:rFonts w:ascii="Arial" w:hAnsi="Arial" w:cs="Arial"/>
                <w:sz w:val="20"/>
                <w:szCs w:val="20"/>
              </w:rPr>
              <w:t>1.</w:t>
            </w:r>
            <w:r w:rsidR="00792E72" w:rsidRPr="00037267">
              <w:rPr>
                <w:rFonts w:ascii="Arial" w:hAnsi="Arial" w:cs="Arial"/>
                <w:sz w:val="20"/>
                <w:szCs w:val="20"/>
              </w:rPr>
              <w:t>06</w:t>
            </w:r>
            <w:r w:rsidRPr="00037267">
              <w:rPr>
                <w:rFonts w:ascii="Arial" w:hAnsi="Arial" w:cs="Arial"/>
                <w:sz w:val="20"/>
                <w:szCs w:val="20"/>
              </w:rPr>
              <w:t>%</w:t>
            </w:r>
          </w:p>
        </w:tc>
      </w:tr>
    </w:tbl>
    <w:p w14:paraId="1EC4940E" w14:textId="77777777" w:rsidR="0082725E" w:rsidRPr="00037267" w:rsidRDefault="0082725E" w:rsidP="0082725E">
      <w:pPr>
        <w:spacing w:after="0"/>
        <w:rPr>
          <w:rFonts w:ascii="Arial" w:hAnsi="Arial" w:cs="Arial"/>
          <w:b/>
          <w:noProof/>
          <w:color w:val="005EB8"/>
        </w:rPr>
      </w:pPr>
    </w:p>
    <w:p w14:paraId="179AD04E" w14:textId="77777777" w:rsidR="00D84F40" w:rsidRDefault="00D84F40" w:rsidP="0082725E">
      <w:pPr>
        <w:spacing w:after="0"/>
        <w:rPr>
          <w:rFonts w:ascii="Arial" w:hAnsi="Arial" w:cs="Arial"/>
          <w:b/>
          <w:noProof/>
          <w:color w:val="005EB8"/>
        </w:rPr>
      </w:pPr>
    </w:p>
    <w:p w14:paraId="7670B187" w14:textId="223CF54A" w:rsidR="0082725E" w:rsidRPr="00037267" w:rsidRDefault="0082725E" w:rsidP="0082725E">
      <w:pPr>
        <w:spacing w:after="0"/>
        <w:rPr>
          <w:rFonts w:ascii="Arial" w:hAnsi="Arial" w:cs="Arial"/>
          <w:b/>
          <w:noProof/>
          <w:color w:val="005EB8"/>
        </w:rPr>
      </w:pPr>
      <w:r w:rsidRPr="00037267">
        <w:rPr>
          <w:rFonts w:ascii="Arial" w:hAnsi="Arial" w:cs="Arial"/>
          <w:b/>
          <w:noProof/>
          <w:color w:val="005EB8"/>
        </w:rPr>
        <w:lastRenderedPageBreak/>
        <w:t xml:space="preserve">Table 7. % of staff redeployed as % of total hours worked </w:t>
      </w:r>
    </w:p>
    <w:p w14:paraId="1DF6A5A3" w14:textId="77777777" w:rsidR="00DD66F4" w:rsidRPr="00037267" w:rsidRDefault="00DD66F4" w:rsidP="0082725E">
      <w:pPr>
        <w:spacing w:after="0"/>
        <w:rPr>
          <w:rFonts w:ascii="Arial" w:hAnsi="Arial" w:cs="Arial"/>
          <w:b/>
          <w:noProof/>
          <w:color w:val="005EB8"/>
        </w:rPr>
      </w:pPr>
    </w:p>
    <w:tbl>
      <w:tblPr>
        <w:tblStyle w:val="TableGrid"/>
        <w:tblW w:w="9493" w:type="dxa"/>
        <w:tblLook w:val="04A0" w:firstRow="1" w:lastRow="0" w:firstColumn="1" w:lastColumn="0" w:noHBand="0" w:noVBand="1"/>
      </w:tblPr>
      <w:tblGrid>
        <w:gridCol w:w="3164"/>
        <w:gridCol w:w="3164"/>
        <w:gridCol w:w="3165"/>
      </w:tblGrid>
      <w:tr w:rsidR="0082725E" w:rsidRPr="00037267" w14:paraId="37634267" w14:textId="77777777" w:rsidTr="00D07544">
        <w:trPr>
          <w:trHeight w:val="1016"/>
        </w:trPr>
        <w:tc>
          <w:tcPr>
            <w:tcW w:w="3164" w:type="dxa"/>
            <w:shd w:val="clear" w:color="auto" w:fill="B4C6E7" w:themeFill="accent1" w:themeFillTint="66"/>
            <w:vAlign w:val="center"/>
          </w:tcPr>
          <w:p w14:paraId="5C577D14" w14:textId="77777777" w:rsidR="0082725E" w:rsidRPr="00037267" w:rsidRDefault="0082725E" w:rsidP="00B76D21">
            <w:pPr>
              <w:spacing w:after="0"/>
              <w:jc w:val="center"/>
              <w:rPr>
                <w:rFonts w:ascii="Arial" w:hAnsi="Arial" w:cs="Arial"/>
                <w:sz w:val="16"/>
                <w:szCs w:val="16"/>
              </w:rPr>
            </w:pPr>
            <w:r w:rsidRPr="00037267">
              <w:rPr>
                <w:rFonts w:ascii="Arial" w:hAnsi="Arial" w:cs="Arial"/>
                <w:sz w:val="16"/>
                <w:szCs w:val="16"/>
              </w:rPr>
              <w:t>All staff hours redeployed (including bank and agency but excluding Enhanced Care Team, Bank Pool and Rapid Response Pool)</w:t>
            </w:r>
          </w:p>
        </w:tc>
        <w:tc>
          <w:tcPr>
            <w:tcW w:w="3164" w:type="dxa"/>
            <w:shd w:val="clear" w:color="auto" w:fill="B4C6E7" w:themeFill="accent1" w:themeFillTint="66"/>
            <w:vAlign w:val="center"/>
          </w:tcPr>
          <w:p w14:paraId="23665DFB" w14:textId="5AF54321" w:rsidR="0082725E" w:rsidRPr="00037267" w:rsidRDefault="0082725E" w:rsidP="00B76D21">
            <w:pPr>
              <w:spacing w:after="0"/>
              <w:jc w:val="center"/>
              <w:rPr>
                <w:rFonts w:ascii="Arial" w:hAnsi="Arial" w:cs="Arial"/>
              </w:rPr>
            </w:pPr>
            <w:r w:rsidRPr="00037267">
              <w:rPr>
                <w:rFonts w:ascii="Arial" w:hAnsi="Arial" w:cs="Arial"/>
              </w:rPr>
              <w:t>Total hours worked (inc</w:t>
            </w:r>
            <w:r w:rsidR="009F7C9B" w:rsidRPr="00037267">
              <w:rPr>
                <w:rFonts w:ascii="Arial" w:hAnsi="Arial" w:cs="Arial"/>
              </w:rPr>
              <w:t>.</w:t>
            </w:r>
            <w:r w:rsidRPr="00037267">
              <w:rPr>
                <w:rFonts w:ascii="Arial" w:hAnsi="Arial" w:cs="Arial"/>
              </w:rPr>
              <w:t xml:space="preserve"> bank and agency)</w:t>
            </w:r>
          </w:p>
        </w:tc>
        <w:tc>
          <w:tcPr>
            <w:tcW w:w="3165" w:type="dxa"/>
            <w:shd w:val="clear" w:color="auto" w:fill="B4C6E7" w:themeFill="accent1" w:themeFillTint="66"/>
            <w:vAlign w:val="center"/>
          </w:tcPr>
          <w:p w14:paraId="2930275F" w14:textId="77777777" w:rsidR="0082725E" w:rsidRPr="00037267" w:rsidRDefault="0082725E" w:rsidP="00B76D21">
            <w:pPr>
              <w:spacing w:after="0"/>
              <w:jc w:val="center"/>
              <w:rPr>
                <w:rFonts w:ascii="Arial" w:hAnsi="Arial" w:cs="Arial"/>
                <w:sz w:val="16"/>
                <w:szCs w:val="16"/>
              </w:rPr>
            </w:pPr>
            <w:r w:rsidRPr="00037267">
              <w:rPr>
                <w:rFonts w:ascii="Arial" w:hAnsi="Arial" w:cs="Arial"/>
                <w:sz w:val="16"/>
                <w:szCs w:val="16"/>
              </w:rPr>
              <w:t>% of total hours worked / staff redeployed (including bank and agency but excluding Enhanced Care Team, Bank Pool and Rapid Response Pool)</w:t>
            </w:r>
          </w:p>
        </w:tc>
      </w:tr>
      <w:tr w:rsidR="0082725E" w:rsidRPr="00037267" w14:paraId="6CB68635" w14:textId="77777777" w:rsidTr="00037267">
        <w:trPr>
          <w:trHeight w:val="363"/>
        </w:trPr>
        <w:tc>
          <w:tcPr>
            <w:tcW w:w="3164" w:type="dxa"/>
            <w:vAlign w:val="center"/>
          </w:tcPr>
          <w:p w14:paraId="75F7298E" w14:textId="4918354E" w:rsidR="0082725E" w:rsidRPr="00037267" w:rsidRDefault="00792E72" w:rsidP="00B76D21">
            <w:pPr>
              <w:spacing w:after="0"/>
              <w:jc w:val="center"/>
              <w:rPr>
                <w:rFonts w:ascii="Arial" w:hAnsi="Arial" w:cs="Arial"/>
                <w:sz w:val="20"/>
                <w:szCs w:val="20"/>
              </w:rPr>
            </w:pPr>
            <w:r w:rsidRPr="00037267">
              <w:rPr>
                <w:rFonts w:ascii="Arial" w:hAnsi="Arial" w:cs="Arial"/>
                <w:sz w:val="20"/>
                <w:szCs w:val="20"/>
              </w:rPr>
              <w:t>2641.1</w:t>
            </w:r>
          </w:p>
        </w:tc>
        <w:tc>
          <w:tcPr>
            <w:tcW w:w="3164" w:type="dxa"/>
            <w:vAlign w:val="center"/>
          </w:tcPr>
          <w:p w14:paraId="26021902" w14:textId="4CAFB9AE" w:rsidR="0082725E" w:rsidRPr="00037267" w:rsidRDefault="00916D16" w:rsidP="00B76D21">
            <w:pPr>
              <w:spacing w:after="0"/>
              <w:jc w:val="center"/>
              <w:rPr>
                <w:rFonts w:ascii="Arial" w:hAnsi="Arial" w:cs="Arial"/>
                <w:sz w:val="20"/>
                <w:szCs w:val="20"/>
              </w:rPr>
            </w:pPr>
            <w:r w:rsidRPr="00037267">
              <w:rPr>
                <w:rFonts w:ascii="Arial" w:hAnsi="Arial" w:cs="Arial"/>
                <w:sz w:val="20"/>
                <w:szCs w:val="20"/>
              </w:rPr>
              <w:t>140763</w:t>
            </w:r>
          </w:p>
        </w:tc>
        <w:tc>
          <w:tcPr>
            <w:tcW w:w="3165" w:type="dxa"/>
            <w:vAlign w:val="center"/>
          </w:tcPr>
          <w:p w14:paraId="39863546" w14:textId="4F2C76C4" w:rsidR="0082725E" w:rsidRPr="00037267" w:rsidRDefault="00792E72" w:rsidP="00B76D21">
            <w:pPr>
              <w:spacing w:after="0"/>
              <w:jc w:val="center"/>
              <w:rPr>
                <w:rFonts w:ascii="Arial" w:hAnsi="Arial" w:cs="Arial"/>
                <w:sz w:val="20"/>
                <w:szCs w:val="20"/>
              </w:rPr>
            </w:pPr>
            <w:r w:rsidRPr="00037267">
              <w:rPr>
                <w:rFonts w:ascii="Arial" w:hAnsi="Arial" w:cs="Arial"/>
                <w:sz w:val="20"/>
                <w:szCs w:val="20"/>
              </w:rPr>
              <w:t>1.87</w:t>
            </w:r>
            <w:r w:rsidR="0082725E" w:rsidRPr="00037267">
              <w:rPr>
                <w:rFonts w:ascii="Arial" w:hAnsi="Arial" w:cs="Arial"/>
                <w:sz w:val="20"/>
                <w:szCs w:val="20"/>
              </w:rPr>
              <w:t>%</w:t>
            </w:r>
          </w:p>
        </w:tc>
      </w:tr>
    </w:tbl>
    <w:p w14:paraId="62CEF8E0" w14:textId="77777777" w:rsidR="00A946B5" w:rsidRPr="00037267" w:rsidRDefault="00A946B5" w:rsidP="00F90952">
      <w:pPr>
        <w:spacing w:after="0"/>
        <w:rPr>
          <w:rFonts w:ascii="Arial" w:hAnsi="Arial" w:cs="Arial"/>
          <w:b/>
          <w:noProof/>
          <w:color w:val="005EB8"/>
        </w:rPr>
      </w:pPr>
    </w:p>
    <w:p w14:paraId="35A3B7AD" w14:textId="66587156" w:rsidR="00BE730A" w:rsidRPr="00037267" w:rsidRDefault="000C3FF8" w:rsidP="00F90952">
      <w:pPr>
        <w:spacing w:after="0"/>
        <w:rPr>
          <w:rFonts w:ascii="Arial" w:hAnsi="Arial" w:cs="Arial"/>
          <w:b/>
          <w:noProof/>
          <w:color w:val="005EB8"/>
        </w:rPr>
      </w:pPr>
      <w:r w:rsidRPr="00037267">
        <w:rPr>
          <w:rFonts w:ascii="Arial" w:hAnsi="Arial" w:cs="Arial"/>
          <w:b/>
          <w:noProof/>
          <w:color w:val="005EB8"/>
        </w:rPr>
        <w:t>Appendix 3 Summary</w:t>
      </w:r>
    </w:p>
    <w:p w14:paraId="715139EC"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November data demonstrates improving workforce flexibility alongside ongoing pressures:</w:t>
      </w:r>
    </w:p>
    <w:p w14:paraId="54281106" w14:textId="77777777" w:rsidR="00D84F40" w:rsidRPr="00B955FC" w:rsidRDefault="00D84F40" w:rsidP="00D84F40">
      <w:pPr>
        <w:numPr>
          <w:ilvl w:val="0"/>
          <w:numId w:val="18"/>
        </w:num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Nursing Red Flags: 133 raised (+13 compared to October), predominantly related to registered nurse shortfalls and enhanced care demand. The majority remain open, indicating a need to strengthen closure compliance and follow-up.</w:t>
      </w:r>
    </w:p>
    <w:p w14:paraId="20220632" w14:textId="77777777" w:rsidR="00D84F40" w:rsidRPr="00B955FC" w:rsidRDefault="00D84F40" w:rsidP="00D84F40">
      <w:pPr>
        <w:numPr>
          <w:ilvl w:val="0"/>
          <w:numId w:val="18"/>
        </w:num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Datix incidents: 48 staffing-related reports, concentrated in a small number of wards, reflecting appropriate escalation and a strengthening safety culture.</w:t>
      </w:r>
    </w:p>
    <w:p w14:paraId="54547F09" w14:textId="77777777" w:rsidR="00D84F40" w:rsidRPr="00B955FC" w:rsidRDefault="00D84F40" w:rsidP="00D84F40">
      <w:pPr>
        <w:numPr>
          <w:ilvl w:val="0"/>
          <w:numId w:val="18"/>
        </w:num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Redeployment: 148 occasions, continuing a sustained reduction from earlier peaks, suggesting improved roster alignment and workforce planning.</w:t>
      </w:r>
    </w:p>
    <w:p w14:paraId="08129F64" w14:textId="252B5BB2" w:rsidR="000C3FF8" w:rsidRPr="00D84F40"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b/>
          <w:bCs/>
          <w:lang w:eastAsia="en-GB"/>
        </w:rPr>
        <w:t>Overall assurance:</w:t>
      </w:r>
      <w:r w:rsidRPr="00B955FC">
        <w:rPr>
          <w:rFonts w:ascii="Arial" w:eastAsia="Times New Roman" w:hAnsi="Arial" w:cs="Arial"/>
          <w:lang w:eastAsia="en-GB"/>
        </w:rPr>
        <w:t xml:space="preserve"> Safe staffing was maintained through daily safety huddles and robust governance controls. While continued reliance on temporary staffing and open Red Flags highlights a safe but fragile position, improving redeployment trends and proactive escalation provide confidence that staffing risks are being actively identified and managed.</w:t>
      </w:r>
    </w:p>
    <w:p w14:paraId="5C62FA65" w14:textId="1EC639CA" w:rsidR="000B050A" w:rsidRPr="00037267" w:rsidRDefault="00F90952" w:rsidP="00F90952">
      <w:pPr>
        <w:spacing w:after="0"/>
        <w:rPr>
          <w:rFonts w:ascii="Arial" w:hAnsi="Arial" w:cs="Arial"/>
          <w:b/>
          <w:noProof/>
          <w:color w:val="005EB8"/>
        </w:rPr>
      </w:pPr>
      <w:r w:rsidRPr="00037267">
        <w:rPr>
          <w:rFonts w:ascii="Arial" w:hAnsi="Arial" w:cs="Arial"/>
          <w:b/>
          <w:noProof/>
          <w:color w:val="005EB8"/>
        </w:rPr>
        <w:t xml:space="preserve">Appendix </w:t>
      </w:r>
      <w:r w:rsidR="003F476C" w:rsidRPr="00037267">
        <w:rPr>
          <w:rFonts w:ascii="Arial" w:hAnsi="Arial" w:cs="Arial"/>
          <w:b/>
          <w:noProof/>
          <w:color w:val="005EB8"/>
        </w:rPr>
        <w:t>4</w:t>
      </w:r>
      <w:r w:rsidRPr="00037267">
        <w:rPr>
          <w:rFonts w:ascii="Arial" w:hAnsi="Arial" w:cs="Arial"/>
          <w:b/>
          <w:noProof/>
          <w:color w:val="005EB8"/>
        </w:rPr>
        <w:t>:</w:t>
      </w:r>
      <w:r w:rsidR="00AD0401" w:rsidRPr="00037267">
        <w:rPr>
          <w:rFonts w:ascii="Arial" w:hAnsi="Arial" w:cs="Arial"/>
          <w:b/>
          <w:noProof/>
          <w:color w:val="005EB8"/>
        </w:rPr>
        <w:t xml:space="preserve"> </w:t>
      </w:r>
      <w:r w:rsidR="000B050A" w:rsidRPr="00037267">
        <w:rPr>
          <w:rFonts w:ascii="Arial" w:hAnsi="Arial" w:cs="Arial"/>
          <w:b/>
          <w:noProof/>
          <w:color w:val="005EB8"/>
        </w:rPr>
        <w:t>Nursing quality indicators</w:t>
      </w:r>
    </w:p>
    <w:p w14:paraId="5C2CE741" w14:textId="77777777" w:rsidR="000B050A" w:rsidRPr="00037267" w:rsidRDefault="000B050A" w:rsidP="00F90952">
      <w:pPr>
        <w:spacing w:after="0"/>
        <w:rPr>
          <w:rFonts w:ascii="Arial" w:hAnsi="Arial" w:cs="Arial"/>
          <w:b/>
          <w:noProof/>
          <w:color w:val="005EB8"/>
        </w:rPr>
      </w:pPr>
    </w:p>
    <w:p w14:paraId="41B09E67" w14:textId="14C6591B" w:rsidR="000B050A" w:rsidRPr="00037267" w:rsidRDefault="000B050A" w:rsidP="000B050A">
      <w:pPr>
        <w:spacing w:after="0"/>
        <w:rPr>
          <w:rFonts w:ascii="Arial" w:hAnsi="Arial" w:cs="Arial"/>
          <w:b/>
          <w:color w:val="005EB8"/>
        </w:rPr>
      </w:pPr>
      <w:bookmarkStart w:id="19" w:name="_Hlk168574233"/>
      <w:r w:rsidRPr="00037267">
        <w:rPr>
          <w:rFonts w:ascii="Arial" w:hAnsi="Arial" w:cs="Arial"/>
          <w:b/>
          <w:color w:val="005EB8"/>
        </w:rPr>
        <w:t xml:space="preserve">Table 1. Number of falls, unwitnessed falls and falls with harm in </w:t>
      </w:r>
      <w:r w:rsidR="0057060E" w:rsidRPr="00037267">
        <w:rPr>
          <w:rFonts w:ascii="Arial" w:hAnsi="Arial" w:cs="Arial"/>
          <w:b/>
          <w:bCs/>
          <w:color w:val="005EB8"/>
        </w:rPr>
        <w:t>Novem</w:t>
      </w:r>
      <w:r w:rsidR="00444BC7" w:rsidRPr="00037267">
        <w:rPr>
          <w:rFonts w:ascii="Arial" w:hAnsi="Arial" w:cs="Arial"/>
          <w:b/>
          <w:color w:val="005EB8"/>
        </w:rPr>
        <w:t xml:space="preserve">ber </w:t>
      </w:r>
      <w:r w:rsidR="009B222A" w:rsidRPr="00037267">
        <w:rPr>
          <w:rFonts w:ascii="Arial" w:hAnsi="Arial" w:cs="Arial"/>
          <w:b/>
          <w:color w:val="005EB8"/>
        </w:rPr>
        <w:t>2025</w:t>
      </w:r>
      <w:r w:rsidRPr="00037267">
        <w:rPr>
          <w:rFonts w:ascii="Arial" w:hAnsi="Arial" w:cs="Arial"/>
          <w:b/>
          <w:color w:val="005EB8"/>
        </w:rPr>
        <w:t xml:space="preserve">, with the top 3 wards being </w:t>
      </w:r>
      <w:r w:rsidR="002344E1" w:rsidRPr="00037267">
        <w:rPr>
          <w:rFonts w:ascii="Arial" w:hAnsi="Arial" w:cs="Arial"/>
          <w:b/>
          <w:color w:val="005EB8"/>
        </w:rPr>
        <w:t>highlighted.</w:t>
      </w:r>
    </w:p>
    <w:tbl>
      <w:tblPr>
        <w:tblW w:w="9460" w:type="dxa"/>
        <w:tblLayout w:type="fixed"/>
        <w:tblLook w:val="04A0" w:firstRow="1" w:lastRow="0" w:firstColumn="1" w:lastColumn="0" w:noHBand="0" w:noVBand="1"/>
      </w:tblPr>
      <w:tblGrid>
        <w:gridCol w:w="1843"/>
        <w:gridCol w:w="1985"/>
        <w:gridCol w:w="1877"/>
        <w:gridCol w:w="17"/>
        <w:gridCol w:w="1860"/>
        <w:gridCol w:w="9"/>
        <w:gridCol w:w="1869"/>
      </w:tblGrid>
      <w:tr w:rsidR="008F7DE9" w:rsidRPr="00037267" w14:paraId="56C5481C" w14:textId="77777777" w:rsidTr="0026003E">
        <w:trPr>
          <w:trHeight w:val="375"/>
        </w:trPr>
        <w:tc>
          <w:tcPr>
            <w:tcW w:w="1843" w:type="dxa"/>
            <w:tcBorders>
              <w:top w:val="nil"/>
              <w:left w:val="nil"/>
              <w:bottom w:val="single" w:sz="4" w:space="0" w:color="auto"/>
              <w:right w:val="single" w:sz="4" w:space="0" w:color="auto"/>
            </w:tcBorders>
            <w:noWrap/>
            <w:vAlign w:val="bottom"/>
            <w:hideMark/>
          </w:tcPr>
          <w:p w14:paraId="2FB99D93" w14:textId="77777777" w:rsidR="008F7DE9" w:rsidRPr="00037267" w:rsidRDefault="008F7DE9" w:rsidP="00774463">
            <w:pPr>
              <w:spacing w:after="0" w:line="240" w:lineRule="auto"/>
              <w:rPr>
                <w:rFonts w:ascii="Arial" w:eastAsia="Times New Roman" w:hAnsi="Arial" w:cs="Arial"/>
                <w:color w:val="000000"/>
                <w:lang w:eastAsia="en-GB"/>
              </w:rPr>
            </w:pPr>
            <w:bookmarkStart w:id="20" w:name="_Hlk168663719"/>
            <w:bookmarkStart w:id="21" w:name="_Hlk168663818"/>
            <w:r w:rsidRPr="00037267">
              <w:rPr>
                <w:rFonts w:ascii="Arial" w:eastAsia="Times New Roman" w:hAnsi="Arial" w:cs="Arial"/>
                <w:color w:val="000000"/>
                <w:lang w:eastAsia="en-GB"/>
              </w:rPr>
              <w:t> </w:t>
            </w:r>
          </w:p>
        </w:tc>
        <w:tc>
          <w:tcPr>
            <w:tcW w:w="1985" w:type="dxa"/>
            <w:tcBorders>
              <w:top w:val="single" w:sz="4" w:space="0" w:color="auto"/>
              <w:left w:val="nil"/>
              <w:bottom w:val="single" w:sz="4" w:space="0" w:color="auto"/>
              <w:right w:val="single" w:sz="4" w:space="0" w:color="auto"/>
            </w:tcBorders>
            <w:shd w:val="clear" w:color="000000" w:fill="BDD7EE"/>
            <w:noWrap/>
            <w:vAlign w:val="center"/>
            <w:hideMark/>
          </w:tcPr>
          <w:p w14:paraId="7EDEE72A" w14:textId="77777777" w:rsidR="008F7DE9" w:rsidRPr="00037267" w:rsidRDefault="008F7DE9"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Total falls in month</w:t>
            </w:r>
          </w:p>
        </w:tc>
        <w:tc>
          <w:tcPr>
            <w:tcW w:w="5632" w:type="dxa"/>
            <w:gridSpan w:val="5"/>
            <w:tcBorders>
              <w:top w:val="single" w:sz="4" w:space="0" w:color="auto"/>
              <w:left w:val="nil"/>
              <w:bottom w:val="single" w:sz="4" w:space="0" w:color="auto"/>
              <w:right w:val="single" w:sz="4" w:space="0" w:color="auto"/>
            </w:tcBorders>
            <w:shd w:val="clear" w:color="000000" w:fill="BDD7EE"/>
            <w:noWrap/>
            <w:vAlign w:val="center"/>
            <w:hideMark/>
          </w:tcPr>
          <w:p w14:paraId="4857437F" w14:textId="77777777" w:rsidR="008F7DE9" w:rsidRPr="00037267" w:rsidRDefault="008F7DE9"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Top 3 wards</w:t>
            </w:r>
          </w:p>
        </w:tc>
      </w:tr>
      <w:tr w:rsidR="008F7DE9" w:rsidRPr="00037267" w14:paraId="302F2BA4"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hideMark/>
          </w:tcPr>
          <w:p w14:paraId="696C465E" w14:textId="77777777" w:rsidR="008F7DE9" w:rsidRPr="00037267" w:rsidRDefault="008F7DE9"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Total falls</w:t>
            </w:r>
          </w:p>
        </w:tc>
        <w:tc>
          <w:tcPr>
            <w:tcW w:w="1985" w:type="dxa"/>
            <w:tcBorders>
              <w:top w:val="nil"/>
              <w:left w:val="nil"/>
              <w:bottom w:val="single" w:sz="4" w:space="0" w:color="auto"/>
              <w:right w:val="single" w:sz="4" w:space="0" w:color="auto"/>
            </w:tcBorders>
            <w:noWrap/>
            <w:vAlign w:val="center"/>
          </w:tcPr>
          <w:p w14:paraId="79D46913" w14:textId="4D995955" w:rsidR="008F7DE9"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80</w:t>
            </w:r>
          </w:p>
        </w:tc>
        <w:tc>
          <w:tcPr>
            <w:tcW w:w="1894" w:type="dxa"/>
            <w:gridSpan w:val="2"/>
            <w:tcBorders>
              <w:top w:val="nil"/>
              <w:left w:val="nil"/>
              <w:bottom w:val="single" w:sz="4" w:space="0" w:color="auto"/>
              <w:right w:val="single" w:sz="4" w:space="0" w:color="auto"/>
            </w:tcBorders>
            <w:noWrap/>
            <w:vAlign w:val="center"/>
          </w:tcPr>
          <w:p w14:paraId="64CFF171" w14:textId="3A295BBF" w:rsidR="008F7DE9"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Winter – 11 </w:t>
            </w:r>
          </w:p>
        </w:tc>
        <w:tc>
          <w:tcPr>
            <w:tcW w:w="1869" w:type="dxa"/>
            <w:gridSpan w:val="2"/>
            <w:tcBorders>
              <w:top w:val="nil"/>
              <w:left w:val="nil"/>
              <w:bottom w:val="single" w:sz="4" w:space="0" w:color="auto"/>
              <w:right w:val="single" w:sz="4" w:space="0" w:color="auto"/>
            </w:tcBorders>
            <w:noWrap/>
            <w:vAlign w:val="center"/>
          </w:tcPr>
          <w:p w14:paraId="186E597D" w14:textId="024024FD" w:rsidR="008F7DE9"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Lister – 10 </w:t>
            </w:r>
          </w:p>
        </w:tc>
        <w:tc>
          <w:tcPr>
            <w:tcW w:w="1869" w:type="dxa"/>
            <w:tcBorders>
              <w:top w:val="nil"/>
              <w:left w:val="nil"/>
              <w:bottom w:val="single" w:sz="4" w:space="0" w:color="auto"/>
              <w:right w:val="single" w:sz="4" w:space="0" w:color="auto"/>
            </w:tcBorders>
            <w:vAlign w:val="center"/>
          </w:tcPr>
          <w:p w14:paraId="5C6BD74A" w14:textId="4E0A01A0" w:rsidR="008F7DE9"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Charnley, Kingsmoor, Penn – 7 </w:t>
            </w:r>
          </w:p>
        </w:tc>
      </w:tr>
      <w:tr w:rsidR="00F957BE" w:rsidRPr="00037267" w14:paraId="6D963F1C" w14:textId="77777777" w:rsidTr="0026003E">
        <w:trPr>
          <w:trHeight w:val="336"/>
        </w:trPr>
        <w:tc>
          <w:tcPr>
            <w:tcW w:w="1843" w:type="dxa"/>
            <w:tcBorders>
              <w:top w:val="nil"/>
              <w:left w:val="single" w:sz="4" w:space="0" w:color="auto"/>
              <w:bottom w:val="single" w:sz="4" w:space="0" w:color="auto"/>
              <w:right w:val="single" w:sz="4" w:space="0" w:color="auto"/>
            </w:tcBorders>
            <w:noWrap/>
            <w:vAlign w:val="center"/>
          </w:tcPr>
          <w:p w14:paraId="1CAA12CA" w14:textId="77777777" w:rsidR="00F957BE" w:rsidRPr="00037267" w:rsidRDefault="00F957BE"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Unwitnessed falls</w:t>
            </w:r>
          </w:p>
        </w:tc>
        <w:tc>
          <w:tcPr>
            <w:tcW w:w="1985" w:type="dxa"/>
            <w:tcBorders>
              <w:top w:val="nil"/>
              <w:left w:val="nil"/>
              <w:bottom w:val="single" w:sz="4" w:space="0" w:color="auto"/>
              <w:right w:val="single" w:sz="4" w:space="0" w:color="auto"/>
            </w:tcBorders>
            <w:noWrap/>
            <w:vAlign w:val="center"/>
          </w:tcPr>
          <w:p w14:paraId="439F8B8D" w14:textId="58DDA9FC" w:rsidR="00F957BE"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53</w:t>
            </w:r>
          </w:p>
        </w:tc>
        <w:tc>
          <w:tcPr>
            <w:tcW w:w="1894" w:type="dxa"/>
            <w:gridSpan w:val="2"/>
            <w:tcBorders>
              <w:top w:val="nil"/>
              <w:left w:val="nil"/>
              <w:bottom w:val="single" w:sz="4" w:space="0" w:color="auto"/>
              <w:right w:val="single" w:sz="4" w:space="0" w:color="auto"/>
            </w:tcBorders>
            <w:noWrap/>
            <w:vAlign w:val="center"/>
          </w:tcPr>
          <w:p w14:paraId="5AB97497" w14:textId="54028C85" w:rsidR="00F957BE"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Winter – 9 </w:t>
            </w:r>
          </w:p>
        </w:tc>
        <w:tc>
          <w:tcPr>
            <w:tcW w:w="1869" w:type="dxa"/>
            <w:gridSpan w:val="2"/>
            <w:tcBorders>
              <w:top w:val="nil"/>
              <w:left w:val="nil"/>
              <w:bottom w:val="single" w:sz="4" w:space="0" w:color="auto"/>
              <w:right w:val="single" w:sz="4" w:space="0" w:color="auto"/>
            </w:tcBorders>
            <w:noWrap/>
            <w:vAlign w:val="center"/>
          </w:tcPr>
          <w:p w14:paraId="17BAB2EE" w14:textId="065B3A10" w:rsidR="00F957BE"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Charnley – 7 </w:t>
            </w:r>
          </w:p>
        </w:tc>
        <w:tc>
          <w:tcPr>
            <w:tcW w:w="1869" w:type="dxa"/>
            <w:tcBorders>
              <w:top w:val="nil"/>
              <w:left w:val="nil"/>
              <w:bottom w:val="single" w:sz="4" w:space="0" w:color="auto"/>
              <w:right w:val="single" w:sz="4" w:space="0" w:color="auto"/>
            </w:tcBorders>
            <w:vAlign w:val="center"/>
          </w:tcPr>
          <w:p w14:paraId="706F016A" w14:textId="1BD26DCD" w:rsidR="00F957BE"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Lister, Penn, Locke – 5 </w:t>
            </w:r>
          </w:p>
        </w:tc>
      </w:tr>
      <w:bookmarkEnd w:id="20"/>
      <w:tr w:rsidR="00F9416D" w:rsidRPr="00037267" w14:paraId="72B3688E" w14:textId="77777777" w:rsidTr="00DB269E">
        <w:trPr>
          <w:trHeight w:val="336"/>
        </w:trPr>
        <w:tc>
          <w:tcPr>
            <w:tcW w:w="1843" w:type="dxa"/>
            <w:tcBorders>
              <w:top w:val="nil"/>
              <w:left w:val="single" w:sz="4" w:space="0" w:color="auto"/>
              <w:bottom w:val="single" w:sz="4" w:space="0" w:color="auto"/>
              <w:right w:val="single" w:sz="4" w:space="0" w:color="auto"/>
            </w:tcBorders>
            <w:noWrap/>
            <w:vAlign w:val="center"/>
          </w:tcPr>
          <w:p w14:paraId="37FFFBE6" w14:textId="77777777" w:rsidR="00F9416D"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Falls with harm *</w:t>
            </w:r>
          </w:p>
        </w:tc>
        <w:tc>
          <w:tcPr>
            <w:tcW w:w="1985" w:type="dxa"/>
            <w:tcBorders>
              <w:top w:val="nil"/>
              <w:left w:val="nil"/>
              <w:bottom w:val="single" w:sz="4" w:space="0" w:color="auto"/>
              <w:right w:val="single" w:sz="4" w:space="0" w:color="auto"/>
            </w:tcBorders>
            <w:noWrap/>
            <w:vAlign w:val="center"/>
          </w:tcPr>
          <w:p w14:paraId="726F8197" w14:textId="06D5570B" w:rsidR="00F9416D"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17</w:t>
            </w:r>
          </w:p>
        </w:tc>
        <w:tc>
          <w:tcPr>
            <w:tcW w:w="1877" w:type="dxa"/>
            <w:tcBorders>
              <w:top w:val="nil"/>
              <w:left w:val="nil"/>
              <w:bottom w:val="single" w:sz="4" w:space="0" w:color="auto"/>
              <w:right w:val="single" w:sz="4" w:space="0" w:color="auto"/>
            </w:tcBorders>
            <w:noWrap/>
            <w:vAlign w:val="center"/>
          </w:tcPr>
          <w:p w14:paraId="35C749A1" w14:textId="289D30DF" w:rsidR="00F9416D"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Winter – 4 </w:t>
            </w:r>
          </w:p>
        </w:tc>
        <w:tc>
          <w:tcPr>
            <w:tcW w:w="1877" w:type="dxa"/>
            <w:gridSpan w:val="2"/>
            <w:tcBorders>
              <w:top w:val="nil"/>
              <w:left w:val="nil"/>
              <w:bottom w:val="single" w:sz="4" w:space="0" w:color="auto"/>
              <w:right w:val="single" w:sz="4" w:space="0" w:color="auto"/>
            </w:tcBorders>
            <w:vAlign w:val="center"/>
          </w:tcPr>
          <w:p w14:paraId="396069C0" w14:textId="7C4E1E6C" w:rsidR="00F9416D"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Charnley – 3 </w:t>
            </w:r>
          </w:p>
        </w:tc>
        <w:tc>
          <w:tcPr>
            <w:tcW w:w="1878" w:type="dxa"/>
            <w:gridSpan w:val="2"/>
            <w:tcBorders>
              <w:top w:val="nil"/>
              <w:left w:val="nil"/>
              <w:bottom w:val="single" w:sz="4" w:space="0" w:color="auto"/>
              <w:right w:val="single" w:sz="4" w:space="0" w:color="auto"/>
            </w:tcBorders>
            <w:vAlign w:val="center"/>
          </w:tcPr>
          <w:p w14:paraId="29EC8B94" w14:textId="38CB75A2" w:rsidR="00F9416D" w:rsidRPr="00037267" w:rsidRDefault="00F9416D" w:rsidP="00774463">
            <w:pPr>
              <w:spacing w:after="0" w:line="240" w:lineRule="auto"/>
              <w:jc w:val="center"/>
              <w:rPr>
                <w:rFonts w:ascii="Arial" w:eastAsia="Times New Roman" w:hAnsi="Arial" w:cs="Arial"/>
                <w:color w:val="000000"/>
                <w:sz w:val="20"/>
                <w:szCs w:val="20"/>
                <w:lang w:eastAsia="en-GB"/>
              </w:rPr>
            </w:pPr>
            <w:r w:rsidRPr="00037267">
              <w:rPr>
                <w:rFonts w:ascii="Arial" w:eastAsia="Times New Roman" w:hAnsi="Arial" w:cs="Arial"/>
                <w:color w:val="000000"/>
                <w:sz w:val="20"/>
                <w:szCs w:val="20"/>
                <w:lang w:eastAsia="en-GB"/>
              </w:rPr>
              <w:t xml:space="preserve">Ray, AAU – 2 </w:t>
            </w:r>
          </w:p>
        </w:tc>
      </w:tr>
    </w:tbl>
    <w:bookmarkEnd w:id="21"/>
    <w:p w14:paraId="67BF0DD7" w14:textId="1DC3DB02" w:rsidR="000B050A" w:rsidRPr="00037267" w:rsidRDefault="000B050A" w:rsidP="000B050A">
      <w:pPr>
        <w:spacing w:after="0"/>
        <w:rPr>
          <w:rFonts w:ascii="Arial" w:hAnsi="Arial" w:cs="Arial"/>
          <w:i/>
          <w:sz w:val="16"/>
          <w:szCs w:val="16"/>
        </w:rPr>
      </w:pPr>
      <w:r w:rsidRPr="00037267">
        <w:rPr>
          <w:rFonts w:ascii="Arial" w:hAnsi="Arial" w:cs="Arial"/>
          <w:i/>
          <w:sz w:val="16"/>
          <w:szCs w:val="16"/>
        </w:rPr>
        <w:t>*</w:t>
      </w:r>
      <w:r w:rsidR="002344E1" w:rsidRPr="00037267">
        <w:rPr>
          <w:rFonts w:ascii="Arial" w:hAnsi="Arial" w:cs="Arial"/>
          <w:i/>
          <w:sz w:val="16"/>
          <w:szCs w:val="16"/>
        </w:rPr>
        <w:t>Subject</w:t>
      </w:r>
      <w:r w:rsidRPr="00037267">
        <w:rPr>
          <w:rFonts w:ascii="Arial" w:hAnsi="Arial" w:cs="Arial"/>
          <w:i/>
          <w:sz w:val="16"/>
          <w:szCs w:val="16"/>
        </w:rPr>
        <w:t xml:space="preserve"> to change following review at Falls Incident Oversight Group</w:t>
      </w:r>
    </w:p>
    <w:p w14:paraId="2782CD7E" w14:textId="77777777" w:rsidR="000B050A" w:rsidRPr="00037267" w:rsidRDefault="000B050A" w:rsidP="000B050A">
      <w:pPr>
        <w:spacing w:after="0"/>
        <w:rPr>
          <w:rFonts w:ascii="Arial" w:hAnsi="Arial" w:cs="Arial"/>
          <w:i/>
          <w:sz w:val="16"/>
          <w:szCs w:val="16"/>
        </w:rPr>
      </w:pPr>
    </w:p>
    <w:bookmarkEnd w:id="19"/>
    <w:p w14:paraId="6B7F9435" w14:textId="77777777" w:rsidR="00D84F40" w:rsidRPr="00B955FC" w:rsidRDefault="00D84F40" w:rsidP="00D84F40">
      <w:pPr>
        <w:spacing w:after="0"/>
        <w:rPr>
          <w:rFonts w:ascii="Arial" w:hAnsi="Arial" w:cs="Arial"/>
        </w:rPr>
      </w:pPr>
      <w:r w:rsidRPr="00B955FC">
        <w:rPr>
          <w:rFonts w:ascii="Arial" w:hAnsi="Arial" w:cs="Arial"/>
        </w:rPr>
        <w:t xml:space="preserve">Falls increased slightly to </w:t>
      </w:r>
      <w:r w:rsidRPr="00B955FC">
        <w:rPr>
          <w:rStyle w:val="Strong"/>
          <w:rFonts w:ascii="Arial" w:hAnsi="Arial" w:cs="Arial"/>
          <w:b w:val="0"/>
          <w:bCs w:val="0"/>
        </w:rPr>
        <w:t>80 (+2)</w:t>
      </w:r>
      <w:r w:rsidRPr="00B955FC">
        <w:rPr>
          <w:rFonts w:ascii="Arial" w:hAnsi="Arial" w:cs="Arial"/>
          <w:b/>
          <w:bCs/>
        </w:rPr>
        <w:t>,</w:t>
      </w:r>
      <w:r w:rsidRPr="00B955FC">
        <w:rPr>
          <w:rFonts w:ascii="Arial" w:hAnsi="Arial" w:cs="Arial"/>
        </w:rPr>
        <w:t xml:space="preserve"> with </w:t>
      </w:r>
      <w:r w:rsidRPr="00B955FC">
        <w:rPr>
          <w:rStyle w:val="Strong"/>
          <w:rFonts w:ascii="Arial" w:hAnsi="Arial" w:cs="Arial"/>
          <w:b w:val="0"/>
          <w:bCs w:val="0"/>
        </w:rPr>
        <w:t>harm-related falls rising to 17 (+3)</w:t>
      </w:r>
      <w:r w:rsidRPr="00B955FC">
        <w:rPr>
          <w:rFonts w:ascii="Arial" w:hAnsi="Arial" w:cs="Arial"/>
          <w:b/>
          <w:bCs/>
        </w:rPr>
        <w:t>.</w:t>
      </w:r>
      <w:r w:rsidRPr="00B955FC">
        <w:rPr>
          <w:rFonts w:ascii="Arial" w:hAnsi="Arial" w:cs="Arial"/>
        </w:rPr>
        <w:t xml:space="preserve"> </w:t>
      </w:r>
      <w:r w:rsidRPr="00B955FC">
        <w:rPr>
          <w:rStyle w:val="Strong"/>
          <w:rFonts w:ascii="Arial" w:hAnsi="Arial" w:cs="Arial"/>
          <w:b w:val="0"/>
          <w:bCs w:val="0"/>
        </w:rPr>
        <w:t>Unwitnessed falls reduced to 53 (−4)</w:t>
      </w:r>
      <w:r w:rsidRPr="00B955FC">
        <w:rPr>
          <w:rFonts w:ascii="Arial" w:hAnsi="Arial" w:cs="Arial"/>
          <w:b/>
          <w:bCs/>
        </w:rPr>
        <w:t>,</w:t>
      </w:r>
      <w:r w:rsidRPr="00B955FC">
        <w:rPr>
          <w:rFonts w:ascii="Arial" w:hAnsi="Arial" w:cs="Arial"/>
        </w:rPr>
        <w:t xml:space="preserve"> indicating some improvement in observation and supervision. </w:t>
      </w:r>
      <w:r w:rsidRPr="00B955FC">
        <w:rPr>
          <w:rStyle w:val="Strong"/>
          <w:rFonts w:ascii="Arial" w:hAnsi="Arial" w:cs="Arial"/>
          <w:b w:val="0"/>
          <w:bCs w:val="0"/>
        </w:rPr>
        <w:t>Training compliance remains high at &gt;97%</w:t>
      </w:r>
      <w:r w:rsidRPr="00B955FC">
        <w:rPr>
          <w:rFonts w:ascii="Arial" w:hAnsi="Arial" w:cs="Arial"/>
        </w:rPr>
        <w:t xml:space="preserve">, with </w:t>
      </w:r>
      <w:r w:rsidRPr="00B955FC">
        <w:rPr>
          <w:rStyle w:val="Strong"/>
          <w:rFonts w:ascii="Arial" w:hAnsi="Arial" w:cs="Arial"/>
          <w:b w:val="0"/>
          <w:bCs w:val="0"/>
        </w:rPr>
        <w:t>targeted support continuing in Kingsmoor and Harold</w:t>
      </w:r>
      <w:r w:rsidRPr="00B955FC">
        <w:rPr>
          <w:rFonts w:ascii="Arial" w:hAnsi="Arial" w:cs="Arial"/>
        </w:rPr>
        <w:t xml:space="preserve"> to address residual risk.</w:t>
      </w:r>
    </w:p>
    <w:p w14:paraId="348B720D" w14:textId="77777777" w:rsidR="00C27C2E" w:rsidRPr="00037267" w:rsidRDefault="00C27C2E" w:rsidP="00F90952">
      <w:pPr>
        <w:spacing w:after="0"/>
        <w:rPr>
          <w:rFonts w:ascii="Arial" w:hAnsi="Arial" w:cs="Arial"/>
          <w:b/>
          <w:noProof/>
          <w:color w:val="005EB8"/>
          <w:highlight w:val="red"/>
        </w:rPr>
      </w:pPr>
    </w:p>
    <w:p w14:paraId="0C95476F" w14:textId="77777777" w:rsidR="00BA53CE" w:rsidRPr="00037267" w:rsidRDefault="00BA53CE" w:rsidP="00F90952">
      <w:pPr>
        <w:spacing w:after="0"/>
        <w:rPr>
          <w:rFonts w:ascii="Arial" w:hAnsi="Arial" w:cs="Arial"/>
          <w:b/>
          <w:noProof/>
          <w:color w:val="005EB8"/>
        </w:rPr>
      </w:pPr>
    </w:p>
    <w:p w14:paraId="61EE292A" w14:textId="77777777" w:rsidR="00BA53CE" w:rsidRPr="00037267" w:rsidRDefault="00BA53CE" w:rsidP="00F90952">
      <w:pPr>
        <w:spacing w:after="0"/>
        <w:rPr>
          <w:rFonts w:ascii="Arial" w:hAnsi="Arial" w:cs="Arial"/>
          <w:b/>
          <w:noProof/>
          <w:color w:val="005EB8"/>
        </w:rPr>
      </w:pPr>
    </w:p>
    <w:p w14:paraId="1B32EB50" w14:textId="77777777" w:rsidR="00BA53CE" w:rsidRPr="00037267" w:rsidRDefault="00BA53CE" w:rsidP="00F90952">
      <w:pPr>
        <w:spacing w:after="0"/>
        <w:rPr>
          <w:rFonts w:ascii="Arial" w:hAnsi="Arial" w:cs="Arial"/>
          <w:b/>
          <w:noProof/>
          <w:color w:val="005EB8"/>
        </w:rPr>
      </w:pPr>
    </w:p>
    <w:p w14:paraId="65FD83EE" w14:textId="77777777" w:rsidR="00BA53CE" w:rsidRPr="00037267" w:rsidRDefault="00BA53CE" w:rsidP="00F90952">
      <w:pPr>
        <w:spacing w:after="0"/>
        <w:rPr>
          <w:rFonts w:ascii="Arial" w:hAnsi="Arial" w:cs="Arial"/>
          <w:b/>
          <w:noProof/>
          <w:color w:val="005EB8"/>
        </w:rPr>
      </w:pPr>
    </w:p>
    <w:p w14:paraId="2DB9609D" w14:textId="77777777" w:rsidR="00BA53CE" w:rsidRPr="00037267" w:rsidRDefault="00BA53CE" w:rsidP="00F90952">
      <w:pPr>
        <w:spacing w:after="0"/>
        <w:rPr>
          <w:rFonts w:ascii="Arial" w:hAnsi="Arial" w:cs="Arial"/>
          <w:b/>
          <w:noProof/>
          <w:color w:val="005EB8"/>
        </w:rPr>
      </w:pPr>
    </w:p>
    <w:p w14:paraId="4081BE01" w14:textId="77777777" w:rsidR="00BA53CE" w:rsidRPr="00037267" w:rsidRDefault="00BA53CE" w:rsidP="00F90952">
      <w:pPr>
        <w:spacing w:after="0"/>
        <w:rPr>
          <w:rFonts w:ascii="Arial" w:hAnsi="Arial" w:cs="Arial"/>
          <w:b/>
          <w:noProof/>
          <w:color w:val="005EB8"/>
        </w:rPr>
      </w:pPr>
    </w:p>
    <w:p w14:paraId="38BAC93C" w14:textId="77777777" w:rsidR="00D84F40" w:rsidRDefault="00D84F40" w:rsidP="00F90952">
      <w:pPr>
        <w:spacing w:after="0"/>
        <w:rPr>
          <w:rFonts w:ascii="Arial" w:hAnsi="Arial" w:cs="Arial"/>
          <w:b/>
          <w:noProof/>
          <w:color w:val="005EB8"/>
        </w:rPr>
      </w:pPr>
    </w:p>
    <w:p w14:paraId="1744D3D0" w14:textId="77777777" w:rsidR="00D84F40" w:rsidRDefault="00D84F40" w:rsidP="00F90952">
      <w:pPr>
        <w:spacing w:after="0"/>
        <w:rPr>
          <w:rFonts w:ascii="Arial" w:hAnsi="Arial" w:cs="Arial"/>
          <w:b/>
          <w:noProof/>
          <w:color w:val="005EB8"/>
        </w:rPr>
      </w:pPr>
    </w:p>
    <w:p w14:paraId="64369ACC" w14:textId="70C6D777" w:rsidR="001B1E40" w:rsidRPr="00037267" w:rsidRDefault="00AD0401" w:rsidP="00F90952">
      <w:pPr>
        <w:spacing w:after="0"/>
        <w:rPr>
          <w:rFonts w:ascii="Arial" w:hAnsi="Arial" w:cs="Arial"/>
          <w:b/>
          <w:noProof/>
          <w:color w:val="005EB8"/>
        </w:rPr>
      </w:pPr>
      <w:r w:rsidRPr="00037267">
        <w:rPr>
          <w:rFonts w:ascii="Arial" w:hAnsi="Arial" w:cs="Arial"/>
          <w:b/>
          <w:noProof/>
          <w:color w:val="005EB8"/>
        </w:rPr>
        <w:lastRenderedPageBreak/>
        <w:t>Falls Rate per 1000 bed days</w:t>
      </w:r>
      <w:r w:rsidR="007306C2" w:rsidRPr="00037267">
        <w:rPr>
          <w:rFonts w:ascii="Arial" w:hAnsi="Arial" w:cs="Arial"/>
          <w:b/>
          <w:noProof/>
          <w:color w:val="005EB8"/>
        </w:rPr>
        <w:t xml:space="preserve"> </w:t>
      </w:r>
      <w:r w:rsidR="0057060E" w:rsidRPr="00037267">
        <w:rPr>
          <w:rFonts w:ascii="Arial" w:hAnsi="Arial" w:cs="Arial"/>
          <w:b/>
          <w:bCs/>
          <w:noProof/>
          <w:color w:val="005EB8"/>
        </w:rPr>
        <w:t>Novem</w:t>
      </w:r>
      <w:r w:rsidR="00236BE4" w:rsidRPr="00037267">
        <w:rPr>
          <w:rFonts w:ascii="Arial" w:hAnsi="Arial" w:cs="Arial"/>
          <w:b/>
          <w:noProof/>
          <w:color w:val="005EB8"/>
        </w:rPr>
        <w:t>ber</w:t>
      </w:r>
      <w:r w:rsidR="007306C2" w:rsidRPr="00037267">
        <w:rPr>
          <w:rFonts w:ascii="Arial" w:hAnsi="Arial" w:cs="Arial"/>
          <w:b/>
          <w:noProof/>
          <w:color w:val="005EB8"/>
        </w:rPr>
        <w:t xml:space="preserve"> 2025 data</w:t>
      </w:r>
    </w:p>
    <w:p w14:paraId="1A06EBF2" w14:textId="77777777" w:rsidR="00704375" w:rsidRPr="00037267" w:rsidRDefault="00704375" w:rsidP="00F90952">
      <w:pPr>
        <w:spacing w:after="0"/>
        <w:rPr>
          <w:rFonts w:ascii="Arial" w:hAnsi="Arial" w:cs="Arial"/>
          <w:b/>
          <w:noProof/>
          <w:color w:val="005EB8"/>
        </w:rPr>
      </w:pPr>
    </w:p>
    <w:p w14:paraId="55D0A6BE" w14:textId="6779B16E" w:rsidR="00422E89" w:rsidRPr="00037267" w:rsidRDefault="00F9416D" w:rsidP="00F90952">
      <w:pPr>
        <w:spacing w:after="0"/>
        <w:rPr>
          <w:rFonts w:ascii="Arial" w:hAnsi="Arial" w:cs="Arial"/>
          <w:b/>
          <w:noProof/>
          <w:color w:val="005EB8"/>
        </w:rPr>
      </w:pPr>
      <w:r w:rsidRPr="00037267">
        <w:rPr>
          <w:rFonts w:ascii="Arial" w:hAnsi="Arial" w:cs="Arial"/>
          <w:b/>
          <w:noProof/>
          <w:color w:val="005EB8"/>
        </w:rPr>
        <w:drawing>
          <wp:inline distT="0" distB="0" distL="0" distR="0" wp14:anchorId="4AB41965" wp14:editId="10B27EC8">
            <wp:extent cx="4978400" cy="3494990"/>
            <wp:effectExtent l="0" t="0" r="0" b="0"/>
            <wp:docPr id="951667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6261" cy="3507529"/>
                    </a:xfrm>
                    <a:prstGeom prst="rect">
                      <a:avLst/>
                    </a:prstGeom>
                    <a:noFill/>
                  </pic:spPr>
                </pic:pic>
              </a:graphicData>
            </a:graphic>
          </wp:inline>
        </w:drawing>
      </w:r>
    </w:p>
    <w:p w14:paraId="4099AD13" w14:textId="4401A4A4" w:rsidR="007306C2" w:rsidRPr="00037267" w:rsidRDefault="007306C2" w:rsidP="00F90952">
      <w:pPr>
        <w:spacing w:after="0"/>
        <w:rPr>
          <w:rFonts w:ascii="Arial" w:hAnsi="Arial" w:cs="Arial"/>
          <w:b/>
          <w:noProof/>
          <w:color w:val="005EB8"/>
        </w:rPr>
      </w:pPr>
    </w:p>
    <w:p w14:paraId="5673D748" w14:textId="5BAC5B4C" w:rsidR="007D6F8C" w:rsidRPr="00037267" w:rsidRDefault="00F9416D" w:rsidP="00F90952">
      <w:pPr>
        <w:spacing w:after="0"/>
        <w:rPr>
          <w:rFonts w:ascii="Arial" w:hAnsi="Arial" w:cs="Arial"/>
          <w:b/>
          <w:noProof/>
          <w:color w:val="005EB8"/>
        </w:rPr>
      </w:pPr>
      <w:r w:rsidRPr="00037267">
        <w:rPr>
          <w:rFonts w:ascii="Arial" w:hAnsi="Arial" w:cs="Arial"/>
          <w:b/>
          <w:noProof/>
          <w:color w:val="005EB8"/>
        </w:rPr>
        <w:drawing>
          <wp:inline distT="0" distB="0" distL="0" distR="0" wp14:anchorId="6C731A4A" wp14:editId="34684E93">
            <wp:extent cx="4991100" cy="3608025"/>
            <wp:effectExtent l="0" t="0" r="0" b="0"/>
            <wp:docPr id="188815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04173" cy="3617476"/>
                    </a:xfrm>
                    <a:prstGeom prst="rect">
                      <a:avLst/>
                    </a:prstGeom>
                    <a:noFill/>
                  </pic:spPr>
                </pic:pic>
              </a:graphicData>
            </a:graphic>
          </wp:inline>
        </w:drawing>
      </w:r>
    </w:p>
    <w:p w14:paraId="51919EAA" w14:textId="77777777" w:rsidR="000C3FF8" w:rsidRPr="00037267" w:rsidRDefault="000C3FF8" w:rsidP="000B050A">
      <w:pPr>
        <w:spacing w:after="0"/>
        <w:rPr>
          <w:rFonts w:ascii="Arial" w:hAnsi="Arial" w:cs="Arial"/>
          <w:b/>
          <w:color w:val="005EB8"/>
          <w:highlight w:val="green"/>
        </w:rPr>
      </w:pPr>
    </w:p>
    <w:p w14:paraId="37DA4AC5" w14:textId="77777777" w:rsidR="00BA53CE" w:rsidRPr="00037267" w:rsidRDefault="00BA53CE" w:rsidP="000B050A">
      <w:pPr>
        <w:spacing w:after="0"/>
        <w:rPr>
          <w:rFonts w:ascii="Arial" w:hAnsi="Arial" w:cs="Arial"/>
          <w:b/>
          <w:color w:val="005EB8"/>
          <w:highlight w:val="green"/>
        </w:rPr>
      </w:pPr>
    </w:p>
    <w:p w14:paraId="7B05F6F2" w14:textId="77777777" w:rsidR="00BA53CE" w:rsidRPr="00037267" w:rsidRDefault="00BA53CE" w:rsidP="000B050A">
      <w:pPr>
        <w:spacing w:after="0"/>
        <w:rPr>
          <w:rFonts w:ascii="Arial" w:hAnsi="Arial" w:cs="Arial"/>
          <w:b/>
          <w:color w:val="005EB8"/>
          <w:highlight w:val="green"/>
        </w:rPr>
      </w:pPr>
    </w:p>
    <w:p w14:paraId="509DF5C9" w14:textId="77777777" w:rsidR="00BA53CE" w:rsidRPr="00037267" w:rsidRDefault="00BA53CE" w:rsidP="000B050A">
      <w:pPr>
        <w:spacing w:after="0"/>
        <w:rPr>
          <w:rFonts w:ascii="Arial" w:hAnsi="Arial" w:cs="Arial"/>
          <w:b/>
          <w:color w:val="005EB8"/>
          <w:highlight w:val="green"/>
        </w:rPr>
      </w:pPr>
    </w:p>
    <w:p w14:paraId="10355673" w14:textId="77777777" w:rsidR="00BA53CE" w:rsidRPr="00037267" w:rsidRDefault="00BA53CE" w:rsidP="000B050A">
      <w:pPr>
        <w:spacing w:after="0"/>
        <w:rPr>
          <w:rFonts w:ascii="Arial" w:hAnsi="Arial" w:cs="Arial"/>
          <w:b/>
          <w:color w:val="005EB8"/>
          <w:highlight w:val="green"/>
        </w:rPr>
      </w:pPr>
    </w:p>
    <w:p w14:paraId="2C13B9AC" w14:textId="77777777" w:rsidR="00BA53CE" w:rsidRPr="00037267" w:rsidRDefault="00BA53CE" w:rsidP="000B050A">
      <w:pPr>
        <w:spacing w:after="0"/>
        <w:rPr>
          <w:rFonts w:ascii="Arial" w:hAnsi="Arial" w:cs="Arial"/>
          <w:b/>
          <w:color w:val="005EB8"/>
          <w:highlight w:val="green"/>
        </w:rPr>
      </w:pPr>
    </w:p>
    <w:p w14:paraId="615EB875" w14:textId="5B2FBDCF" w:rsidR="000B050A" w:rsidRPr="00037267" w:rsidRDefault="000B050A" w:rsidP="000B050A">
      <w:pPr>
        <w:spacing w:after="0"/>
        <w:rPr>
          <w:rFonts w:ascii="Arial" w:hAnsi="Arial" w:cs="Arial"/>
          <w:b/>
          <w:color w:val="005EB8"/>
        </w:rPr>
      </w:pPr>
      <w:r w:rsidRPr="00037267">
        <w:rPr>
          <w:rFonts w:ascii="Arial" w:hAnsi="Arial" w:cs="Arial"/>
          <w:b/>
          <w:color w:val="005EB8"/>
        </w:rPr>
        <w:lastRenderedPageBreak/>
        <w:t>Pressure Ulcers</w:t>
      </w:r>
    </w:p>
    <w:p w14:paraId="09D74A15" w14:textId="77777777" w:rsidR="000B050A" w:rsidRPr="00037267" w:rsidRDefault="000B050A" w:rsidP="000B050A">
      <w:pPr>
        <w:spacing w:after="0"/>
        <w:rPr>
          <w:rFonts w:ascii="Arial" w:hAnsi="Arial" w:cs="Arial"/>
          <w:color w:val="005EB8"/>
        </w:rPr>
      </w:pPr>
    </w:p>
    <w:p w14:paraId="2341B87C" w14:textId="77777777" w:rsidR="000B050A" w:rsidRPr="00037267" w:rsidRDefault="000B050A" w:rsidP="000B050A">
      <w:pPr>
        <w:spacing w:after="0"/>
        <w:rPr>
          <w:rFonts w:ascii="Arial" w:hAnsi="Arial" w:cs="Arial"/>
          <w:b/>
          <w:color w:val="005EB8"/>
        </w:rPr>
      </w:pPr>
      <w:r w:rsidRPr="00037267">
        <w:rPr>
          <w:rFonts w:ascii="Arial" w:hAnsi="Arial" w:cs="Arial"/>
          <w:b/>
          <w:color w:val="005EB8"/>
        </w:rPr>
        <w:t>Table 2</w:t>
      </w:r>
      <w:r w:rsidR="00EA2C67" w:rsidRPr="00037267">
        <w:rPr>
          <w:rFonts w:ascii="Arial" w:hAnsi="Arial" w:cs="Arial"/>
          <w:b/>
          <w:color w:val="005EB8"/>
        </w:rPr>
        <w:t>a</w:t>
      </w:r>
      <w:r w:rsidRPr="00037267">
        <w:rPr>
          <w:rFonts w:ascii="Arial" w:hAnsi="Arial" w:cs="Arial"/>
          <w:b/>
          <w:color w:val="005EB8"/>
        </w:rPr>
        <w:t xml:space="preserve">. Number of Hospital Acquired Pressure Ulcers (HAPU) Cat 2 and Cat 3 Pressure Ulcers  </w:t>
      </w:r>
    </w:p>
    <w:p w14:paraId="29043391"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Reportable hospital-acquired pressure ulcers (HAPUs) increased to 41 (+11), with non-reportable skin changes rising to 78 (+3). Tye Green and Kingsmoor remain under enhanced surveillance, with targeted improvement actions in progress.</w:t>
      </w:r>
    </w:p>
    <w:p w14:paraId="213B1C61"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Current reporting draws on multiple data sources, resulting in some inconsistency; therefore, rates per 1,000 bed days are not yet available. In addition, reported incidents may include more than one HAPU per patient, reflecting increased vulnerability rather than isolated events.</w:t>
      </w:r>
    </w:p>
    <w:p w14:paraId="73BC7723"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 xml:space="preserve">To strengthen assurance, the Tissue Viability Team will introduce a unified monitoring system covering all Category 1 pressure damage and vulnerable skin, enabling earlier intervention, timely pressure care and improved capture of resolved damage. The Trust also launched the </w:t>
      </w:r>
      <w:r w:rsidRPr="00B955FC">
        <w:rPr>
          <w:rFonts w:ascii="Arial" w:eastAsia="Times New Roman" w:hAnsi="Arial" w:cs="Arial"/>
          <w:b/>
          <w:bCs/>
          <w:lang w:eastAsia="en-GB"/>
        </w:rPr>
        <w:t xml:space="preserve">‘All you have to do is ASK’ </w:t>
      </w:r>
      <w:r w:rsidRPr="00B955FC">
        <w:rPr>
          <w:rFonts w:ascii="Arial" w:eastAsia="Times New Roman" w:hAnsi="Arial" w:cs="Arial"/>
          <w:lang w:eastAsia="en-GB"/>
        </w:rPr>
        <w:t xml:space="preserve">campaign in November, aligned to </w:t>
      </w:r>
      <w:r w:rsidRPr="00B955FC">
        <w:rPr>
          <w:rFonts w:ascii="Arial" w:eastAsia="Times New Roman" w:hAnsi="Arial" w:cs="Arial"/>
          <w:b/>
          <w:bCs/>
          <w:lang w:eastAsia="en-GB"/>
        </w:rPr>
        <w:t>Stop the Pressure Day</w:t>
      </w:r>
      <w:r w:rsidRPr="00B955FC">
        <w:rPr>
          <w:rFonts w:ascii="Arial" w:eastAsia="Times New Roman" w:hAnsi="Arial" w:cs="Arial"/>
          <w:lang w:eastAsia="en-GB"/>
        </w:rPr>
        <w:t>, to reinforce prevention and staff awareness.</w:t>
      </w:r>
    </w:p>
    <w:p w14:paraId="6C287AD3" w14:textId="47DE29A6" w:rsidR="00085114" w:rsidRPr="00037267" w:rsidRDefault="000C3FF8" w:rsidP="00A25A23">
      <w:pPr>
        <w:spacing w:after="0"/>
        <w:jc w:val="both"/>
        <w:rPr>
          <w:rFonts w:ascii="Arial" w:hAnsi="Arial" w:cs="Arial"/>
          <w:bCs/>
          <w:noProof/>
        </w:rPr>
      </w:pPr>
      <w:r w:rsidRPr="00037267">
        <w:rPr>
          <w:rFonts w:ascii="Arial" w:hAnsi="Arial" w:cs="Arial"/>
          <w:bCs/>
          <w:noProof/>
        </w:rPr>
        <w:t>.</w:t>
      </w:r>
      <w:r w:rsidR="00F53A22" w:rsidRPr="00037267">
        <w:rPr>
          <w:rFonts w:ascii="Arial" w:hAnsi="Arial" w:cs="Arial"/>
          <w:noProof/>
        </w:rPr>
        <w:drawing>
          <wp:inline distT="0" distB="0" distL="0" distR="0" wp14:anchorId="5D513698" wp14:editId="79B046E2">
            <wp:extent cx="5035550" cy="2486089"/>
            <wp:effectExtent l="0" t="0" r="0" b="9525"/>
            <wp:docPr id="14652857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85727" name=""/>
                    <pic:cNvPicPr/>
                  </pic:nvPicPr>
                  <pic:blipFill>
                    <a:blip r:embed="rId30">
                      <a:extLst>
                        <a:ext uri="{96DAC541-7B7A-43D3-8B79-37D633B846F1}">
                          <asvg:svgBlip xmlns:asvg="http://schemas.microsoft.com/office/drawing/2016/SVG/main" r:embed="rId31"/>
                        </a:ext>
                      </a:extLst>
                    </a:blip>
                    <a:stretch>
                      <a:fillRect/>
                    </a:stretch>
                  </pic:blipFill>
                  <pic:spPr>
                    <a:xfrm>
                      <a:off x="0" y="0"/>
                      <a:ext cx="5049455" cy="2492954"/>
                    </a:xfrm>
                    <a:prstGeom prst="rect">
                      <a:avLst/>
                    </a:prstGeom>
                  </pic:spPr>
                </pic:pic>
              </a:graphicData>
            </a:graphic>
          </wp:inline>
        </w:drawing>
      </w:r>
    </w:p>
    <w:p w14:paraId="089BEE7D" w14:textId="77777777" w:rsidR="00BA53CE" w:rsidRPr="00037267" w:rsidRDefault="00BA53CE" w:rsidP="00A25A23">
      <w:pPr>
        <w:spacing w:after="0"/>
        <w:jc w:val="both"/>
        <w:rPr>
          <w:rFonts w:ascii="Arial" w:hAnsi="Arial" w:cs="Arial"/>
          <w:bdr w:val="none" w:sz="0" w:space="0" w:color="auto" w:frame="1"/>
          <w:lang w:val="en-US"/>
        </w:rPr>
      </w:pPr>
    </w:p>
    <w:tbl>
      <w:tblPr>
        <w:tblStyle w:val="TableGrid"/>
        <w:tblW w:w="0" w:type="auto"/>
        <w:tblLook w:val="04A0" w:firstRow="1" w:lastRow="0" w:firstColumn="1" w:lastColumn="0" w:noHBand="0" w:noVBand="1"/>
      </w:tblPr>
      <w:tblGrid>
        <w:gridCol w:w="2366"/>
        <w:gridCol w:w="2366"/>
        <w:gridCol w:w="2366"/>
        <w:gridCol w:w="2367"/>
      </w:tblGrid>
      <w:tr w:rsidR="000B050A" w:rsidRPr="00037267" w14:paraId="69F7146C" w14:textId="77777777" w:rsidTr="000C3FF8">
        <w:trPr>
          <w:trHeight w:val="466"/>
        </w:trPr>
        <w:tc>
          <w:tcPr>
            <w:tcW w:w="2366" w:type="dxa"/>
            <w:tcBorders>
              <w:bottom w:val="single" w:sz="4" w:space="0" w:color="auto"/>
            </w:tcBorders>
            <w:shd w:val="clear" w:color="auto" w:fill="BDD6EE" w:themeFill="accent5" w:themeFillTint="66"/>
            <w:vAlign w:val="center"/>
          </w:tcPr>
          <w:p w14:paraId="2470172F" w14:textId="33C27AF5" w:rsidR="000B050A" w:rsidRPr="00037267"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hAnsi="Arial" w:cs="Arial"/>
                <w:sz w:val="22"/>
                <w:szCs w:val="22"/>
                <w:bdr w:val="none" w:sz="0" w:space="0" w:color="auto" w:frame="1"/>
                <w:lang w:val="en-US"/>
              </w:rPr>
              <w:t xml:space="preserve"> </w:t>
            </w:r>
            <w:r w:rsidRPr="00037267">
              <w:rPr>
                <w:rFonts w:ascii="Arial" w:eastAsia="Times New Roman" w:hAnsi="Arial" w:cs="Arial"/>
                <w:color w:val="000000"/>
                <w:sz w:val="22"/>
                <w:szCs w:val="22"/>
                <w:lang w:eastAsia="en-GB"/>
              </w:rPr>
              <w:t>Total in month</w:t>
            </w:r>
          </w:p>
        </w:tc>
        <w:tc>
          <w:tcPr>
            <w:tcW w:w="7099" w:type="dxa"/>
            <w:gridSpan w:val="3"/>
            <w:tcBorders>
              <w:bottom w:val="single" w:sz="4" w:space="0" w:color="auto"/>
            </w:tcBorders>
            <w:shd w:val="clear" w:color="auto" w:fill="BDD6EE" w:themeFill="accent5" w:themeFillTint="66"/>
            <w:vAlign w:val="center"/>
          </w:tcPr>
          <w:p w14:paraId="7B36375E" w14:textId="77777777" w:rsidR="000B050A" w:rsidRPr="00037267"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eastAsia="Times New Roman" w:hAnsi="Arial" w:cs="Arial"/>
                <w:color w:val="000000"/>
                <w:sz w:val="22"/>
                <w:szCs w:val="22"/>
                <w:lang w:eastAsia="en-GB"/>
              </w:rPr>
              <w:t>Top 3 wards</w:t>
            </w:r>
          </w:p>
        </w:tc>
      </w:tr>
      <w:tr w:rsidR="00085114" w:rsidRPr="00037267" w14:paraId="2561D47E" w14:textId="77777777" w:rsidTr="000C3FF8">
        <w:trPr>
          <w:trHeight w:val="317"/>
        </w:trPr>
        <w:tc>
          <w:tcPr>
            <w:tcW w:w="2366" w:type="dxa"/>
            <w:tcBorders>
              <w:top w:val="single" w:sz="4" w:space="0" w:color="auto"/>
              <w:left w:val="single" w:sz="4" w:space="0" w:color="auto"/>
              <w:bottom w:val="single" w:sz="4" w:space="0" w:color="auto"/>
              <w:right w:val="single" w:sz="4" w:space="0" w:color="auto"/>
            </w:tcBorders>
            <w:vAlign w:val="center"/>
          </w:tcPr>
          <w:p w14:paraId="46D75611" w14:textId="6331C9EE" w:rsidR="00085114" w:rsidRPr="00037267"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hAnsi="Arial" w:cs="Arial"/>
                <w:sz w:val="22"/>
                <w:szCs w:val="22"/>
                <w:bdr w:val="none" w:sz="0" w:space="0" w:color="auto" w:frame="1"/>
              </w:rPr>
              <w:t>41</w:t>
            </w:r>
          </w:p>
        </w:tc>
        <w:tc>
          <w:tcPr>
            <w:tcW w:w="2366" w:type="dxa"/>
            <w:tcBorders>
              <w:top w:val="single" w:sz="4" w:space="0" w:color="auto"/>
              <w:left w:val="single" w:sz="4" w:space="0" w:color="auto"/>
              <w:bottom w:val="single" w:sz="4" w:space="0" w:color="auto"/>
              <w:right w:val="single" w:sz="4" w:space="0" w:color="auto"/>
            </w:tcBorders>
            <w:vAlign w:val="center"/>
          </w:tcPr>
          <w:p w14:paraId="4E0D940E" w14:textId="0BD1A886" w:rsidR="00085114" w:rsidRPr="00037267"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hAnsi="Arial" w:cs="Arial"/>
                <w:sz w:val="22"/>
                <w:szCs w:val="22"/>
                <w:bdr w:val="none" w:sz="0" w:space="0" w:color="auto" w:frame="1"/>
              </w:rPr>
              <w:t xml:space="preserve">ITU – 8 </w:t>
            </w:r>
            <w:r w:rsidR="00B61096" w:rsidRPr="00037267">
              <w:rPr>
                <w:rFonts w:ascii="Arial" w:hAnsi="Arial" w:cs="Arial"/>
                <w:sz w:val="22"/>
                <w:szCs w:val="22"/>
                <w:bdr w:val="none" w:sz="0" w:space="0" w:color="auto" w:frame="1"/>
              </w:rPr>
              <w:t xml:space="preserve"> </w:t>
            </w:r>
          </w:p>
        </w:tc>
        <w:tc>
          <w:tcPr>
            <w:tcW w:w="2366" w:type="dxa"/>
            <w:tcBorders>
              <w:top w:val="single" w:sz="4" w:space="0" w:color="auto"/>
              <w:left w:val="single" w:sz="4" w:space="0" w:color="auto"/>
              <w:bottom w:val="single" w:sz="4" w:space="0" w:color="auto"/>
              <w:right w:val="single" w:sz="4" w:space="0" w:color="auto"/>
            </w:tcBorders>
            <w:vAlign w:val="center"/>
          </w:tcPr>
          <w:p w14:paraId="79F5BAAB" w14:textId="7385A326" w:rsidR="00085114" w:rsidRPr="00037267"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hAnsi="Arial" w:cs="Arial"/>
                <w:sz w:val="22"/>
                <w:szCs w:val="22"/>
                <w:bdr w:val="none" w:sz="0" w:space="0" w:color="auto" w:frame="1"/>
              </w:rPr>
              <w:t xml:space="preserve">Tye Green – 7 </w:t>
            </w:r>
            <w:r w:rsidR="00B61096" w:rsidRPr="00037267">
              <w:rPr>
                <w:rFonts w:ascii="Arial" w:hAnsi="Arial" w:cs="Arial"/>
                <w:sz w:val="22"/>
                <w:szCs w:val="22"/>
                <w:bdr w:val="none" w:sz="0" w:space="0" w:color="auto" w:frame="1"/>
              </w:rPr>
              <w:t xml:space="preserve">  </w:t>
            </w:r>
          </w:p>
        </w:tc>
        <w:tc>
          <w:tcPr>
            <w:tcW w:w="2367" w:type="dxa"/>
            <w:tcBorders>
              <w:top w:val="single" w:sz="4" w:space="0" w:color="auto"/>
              <w:left w:val="single" w:sz="4" w:space="0" w:color="auto"/>
              <w:bottom w:val="single" w:sz="4" w:space="0" w:color="auto"/>
              <w:right w:val="single" w:sz="4" w:space="0" w:color="auto"/>
            </w:tcBorders>
            <w:vAlign w:val="center"/>
          </w:tcPr>
          <w:p w14:paraId="63072D4D" w14:textId="3D4C8885" w:rsidR="00085114" w:rsidRPr="00037267"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037267">
              <w:rPr>
                <w:rFonts w:ascii="Arial" w:hAnsi="Arial" w:cs="Arial"/>
                <w:sz w:val="22"/>
                <w:szCs w:val="22"/>
                <w:bdr w:val="none" w:sz="0" w:space="0" w:color="auto" w:frame="1"/>
              </w:rPr>
              <w:t xml:space="preserve">Henry Moore – 5 </w:t>
            </w:r>
            <w:r w:rsidR="00B61096" w:rsidRPr="00037267">
              <w:rPr>
                <w:rFonts w:ascii="Arial" w:hAnsi="Arial" w:cs="Arial"/>
                <w:sz w:val="22"/>
                <w:szCs w:val="22"/>
                <w:bdr w:val="none" w:sz="0" w:space="0" w:color="auto" w:frame="1"/>
              </w:rPr>
              <w:t xml:space="preserve"> </w:t>
            </w:r>
          </w:p>
        </w:tc>
      </w:tr>
    </w:tbl>
    <w:p w14:paraId="5605245B" w14:textId="77777777" w:rsidR="00C27C2E" w:rsidRPr="00037267" w:rsidRDefault="00C27C2E" w:rsidP="00F90952">
      <w:pPr>
        <w:spacing w:after="0"/>
        <w:rPr>
          <w:rFonts w:ascii="Arial" w:hAnsi="Arial" w:cs="Arial"/>
          <w:b/>
          <w:color w:val="005EB8"/>
        </w:rPr>
      </w:pPr>
    </w:p>
    <w:p w14:paraId="65154CC8" w14:textId="77777777" w:rsidR="00BA53CE" w:rsidRPr="00037267" w:rsidRDefault="00BA53CE" w:rsidP="00F90952">
      <w:pPr>
        <w:spacing w:after="0"/>
        <w:rPr>
          <w:rFonts w:ascii="Arial" w:hAnsi="Arial" w:cs="Arial"/>
          <w:b/>
          <w:color w:val="005EB8"/>
        </w:rPr>
      </w:pPr>
    </w:p>
    <w:p w14:paraId="212D1E9C" w14:textId="77777777" w:rsidR="00BA53CE" w:rsidRPr="00037267" w:rsidRDefault="00BA53CE" w:rsidP="00F90952">
      <w:pPr>
        <w:spacing w:after="0"/>
        <w:rPr>
          <w:rFonts w:ascii="Arial" w:hAnsi="Arial" w:cs="Arial"/>
          <w:b/>
          <w:color w:val="005EB8"/>
        </w:rPr>
      </w:pPr>
    </w:p>
    <w:p w14:paraId="13C326EC" w14:textId="77777777" w:rsidR="00BA53CE" w:rsidRPr="00037267" w:rsidRDefault="00BA53CE" w:rsidP="00F90952">
      <w:pPr>
        <w:spacing w:after="0"/>
        <w:rPr>
          <w:rFonts w:ascii="Arial" w:hAnsi="Arial" w:cs="Arial"/>
          <w:b/>
          <w:color w:val="005EB8"/>
        </w:rPr>
      </w:pPr>
    </w:p>
    <w:p w14:paraId="11299757" w14:textId="77777777" w:rsidR="00BA53CE" w:rsidRPr="00037267" w:rsidRDefault="00BA53CE" w:rsidP="00F90952">
      <w:pPr>
        <w:spacing w:after="0"/>
        <w:rPr>
          <w:rFonts w:ascii="Arial" w:hAnsi="Arial" w:cs="Arial"/>
          <w:b/>
          <w:color w:val="005EB8"/>
        </w:rPr>
      </w:pPr>
    </w:p>
    <w:p w14:paraId="1FF88881" w14:textId="77777777" w:rsidR="00BA53CE" w:rsidRPr="00037267" w:rsidRDefault="00BA53CE" w:rsidP="00F90952">
      <w:pPr>
        <w:spacing w:after="0"/>
        <w:rPr>
          <w:rFonts w:ascii="Arial" w:hAnsi="Arial" w:cs="Arial"/>
          <w:b/>
          <w:color w:val="005EB8"/>
        </w:rPr>
      </w:pPr>
    </w:p>
    <w:p w14:paraId="49D898D7" w14:textId="77777777" w:rsidR="00BA53CE" w:rsidRPr="00037267" w:rsidRDefault="00BA53CE" w:rsidP="00F90952">
      <w:pPr>
        <w:spacing w:after="0"/>
        <w:rPr>
          <w:rFonts w:ascii="Arial" w:hAnsi="Arial" w:cs="Arial"/>
          <w:b/>
          <w:color w:val="005EB8"/>
        </w:rPr>
      </w:pPr>
    </w:p>
    <w:p w14:paraId="76E79460" w14:textId="77777777" w:rsidR="00BA53CE" w:rsidRPr="00037267" w:rsidRDefault="00BA53CE" w:rsidP="00F90952">
      <w:pPr>
        <w:spacing w:after="0"/>
        <w:rPr>
          <w:rFonts w:ascii="Arial" w:hAnsi="Arial" w:cs="Arial"/>
          <w:b/>
          <w:color w:val="005EB8"/>
        </w:rPr>
      </w:pPr>
    </w:p>
    <w:p w14:paraId="43D4C722" w14:textId="77777777" w:rsidR="00BA53CE" w:rsidRPr="00037267" w:rsidRDefault="00BA53CE" w:rsidP="00F90952">
      <w:pPr>
        <w:spacing w:after="0"/>
        <w:rPr>
          <w:rFonts w:ascii="Arial" w:hAnsi="Arial" w:cs="Arial"/>
          <w:b/>
          <w:color w:val="005EB8"/>
        </w:rPr>
      </w:pPr>
    </w:p>
    <w:p w14:paraId="6ED91771" w14:textId="77777777" w:rsidR="00BA53CE" w:rsidRPr="00037267" w:rsidRDefault="00BA53CE" w:rsidP="00F90952">
      <w:pPr>
        <w:spacing w:after="0"/>
        <w:rPr>
          <w:rFonts w:ascii="Arial" w:hAnsi="Arial" w:cs="Arial"/>
          <w:b/>
          <w:color w:val="005EB8"/>
        </w:rPr>
      </w:pPr>
    </w:p>
    <w:p w14:paraId="5B353015" w14:textId="77777777" w:rsidR="00BA53CE" w:rsidRPr="00037267" w:rsidRDefault="00BA53CE" w:rsidP="00F90952">
      <w:pPr>
        <w:spacing w:after="0"/>
        <w:rPr>
          <w:rFonts w:ascii="Arial" w:hAnsi="Arial" w:cs="Arial"/>
          <w:b/>
          <w:color w:val="005EB8"/>
        </w:rPr>
      </w:pPr>
    </w:p>
    <w:p w14:paraId="05A40A99" w14:textId="77777777" w:rsidR="00BA53CE" w:rsidRPr="00037267" w:rsidRDefault="00BA53CE" w:rsidP="00F90952">
      <w:pPr>
        <w:spacing w:after="0"/>
        <w:rPr>
          <w:rFonts w:ascii="Arial" w:hAnsi="Arial" w:cs="Arial"/>
          <w:b/>
          <w:color w:val="005EB8"/>
        </w:rPr>
      </w:pPr>
    </w:p>
    <w:p w14:paraId="426D2D18" w14:textId="77777777" w:rsidR="00BA53CE" w:rsidRPr="00037267" w:rsidRDefault="00BA53CE" w:rsidP="00F90952">
      <w:pPr>
        <w:spacing w:after="0"/>
        <w:rPr>
          <w:rFonts w:ascii="Arial" w:hAnsi="Arial" w:cs="Arial"/>
          <w:b/>
          <w:color w:val="005EB8"/>
        </w:rPr>
      </w:pPr>
    </w:p>
    <w:p w14:paraId="334FC8BD" w14:textId="77777777" w:rsidR="00BA53CE" w:rsidRPr="00037267" w:rsidRDefault="00BA53CE" w:rsidP="00F90952">
      <w:pPr>
        <w:spacing w:after="0"/>
        <w:rPr>
          <w:rFonts w:ascii="Arial" w:hAnsi="Arial" w:cs="Arial"/>
          <w:b/>
          <w:color w:val="005EB8"/>
        </w:rPr>
      </w:pPr>
    </w:p>
    <w:p w14:paraId="4C8ACCB6" w14:textId="7167B9CC" w:rsidR="00F90952" w:rsidRPr="00037267" w:rsidRDefault="00EA2C67" w:rsidP="00F90952">
      <w:pPr>
        <w:spacing w:after="0"/>
        <w:rPr>
          <w:rFonts w:ascii="Arial" w:hAnsi="Arial" w:cs="Arial"/>
          <w:b/>
          <w:color w:val="005EB8"/>
        </w:rPr>
      </w:pPr>
      <w:r w:rsidRPr="00037267">
        <w:rPr>
          <w:rFonts w:ascii="Arial" w:hAnsi="Arial" w:cs="Arial"/>
          <w:b/>
          <w:color w:val="005EB8"/>
        </w:rPr>
        <w:t xml:space="preserve">Table 2b. </w:t>
      </w:r>
      <w:r w:rsidR="00FC7B8B" w:rsidRPr="00037267">
        <w:rPr>
          <w:rFonts w:ascii="Arial" w:hAnsi="Arial" w:cs="Arial"/>
          <w:b/>
          <w:color w:val="005EB8"/>
        </w:rPr>
        <w:t xml:space="preserve">Reported Incidents and </w:t>
      </w:r>
      <w:r w:rsidRPr="00037267">
        <w:rPr>
          <w:rFonts w:ascii="Arial" w:hAnsi="Arial" w:cs="Arial"/>
          <w:b/>
          <w:color w:val="005EB8"/>
        </w:rPr>
        <w:t>A</w:t>
      </w:r>
      <w:r w:rsidR="00FC7B8B" w:rsidRPr="00037267">
        <w:rPr>
          <w:rFonts w:ascii="Arial" w:hAnsi="Arial" w:cs="Arial"/>
          <w:b/>
          <w:color w:val="005EB8"/>
        </w:rPr>
        <w:t xml:space="preserve">ctual Hospital Acquired Pressure Ulcers </w:t>
      </w:r>
      <w:r w:rsidR="0057060E" w:rsidRPr="00037267">
        <w:rPr>
          <w:rFonts w:ascii="Arial" w:hAnsi="Arial" w:cs="Arial"/>
          <w:b/>
          <w:bCs/>
          <w:color w:val="005EB8"/>
        </w:rPr>
        <w:t>Novem</w:t>
      </w:r>
      <w:r w:rsidR="00061918" w:rsidRPr="00037267">
        <w:rPr>
          <w:rFonts w:ascii="Arial" w:hAnsi="Arial" w:cs="Arial"/>
          <w:b/>
          <w:color w:val="005EB8"/>
        </w:rPr>
        <w:t>ber</w:t>
      </w:r>
      <w:r w:rsidR="00FC7B8B" w:rsidRPr="00037267">
        <w:rPr>
          <w:rFonts w:ascii="Arial" w:hAnsi="Arial" w:cs="Arial"/>
          <w:b/>
          <w:color w:val="005EB8"/>
        </w:rPr>
        <w:t xml:space="preserve"> 2025</w:t>
      </w:r>
    </w:p>
    <w:p w14:paraId="27612756" w14:textId="056211E5" w:rsidR="008F6AED" w:rsidRPr="00037267" w:rsidRDefault="00F53A22" w:rsidP="00F90952">
      <w:pPr>
        <w:spacing w:after="0"/>
        <w:rPr>
          <w:rFonts w:ascii="Arial" w:hAnsi="Arial" w:cs="Arial"/>
          <w:b/>
          <w:color w:val="005EB8"/>
        </w:rPr>
      </w:pPr>
      <w:r w:rsidRPr="00037267">
        <w:rPr>
          <w:rFonts w:ascii="Arial" w:hAnsi="Arial" w:cs="Arial"/>
          <w:b/>
          <w:noProof/>
          <w:color w:val="005EB8"/>
        </w:rPr>
        <w:drawing>
          <wp:inline distT="0" distB="0" distL="0" distR="0" wp14:anchorId="42965A2F" wp14:editId="13729642">
            <wp:extent cx="5245100" cy="3379404"/>
            <wp:effectExtent l="0" t="0" r="0" b="0"/>
            <wp:docPr id="11095262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7137" cy="3393602"/>
                    </a:xfrm>
                    <a:prstGeom prst="rect">
                      <a:avLst/>
                    </a:prstGeom>
                    <a:noFill/>
                  </pic:spPr>
                </pic:pic>
              </a:graphicData>
            </a:graphic>
          </wp:inline>
        </w:drawing>
      </w:r>
    </w:p>
    <w:p w14:paraId="1523EA19" w14:textId="6B3EE43D" w:rsidR="00C27C2E" w:rsidRPr="00037267" w:rsidRDefault="00C27C2E" w:rsidP="00E74C5B">
      <w:pPr>
        <w:spacing w:after="0"/>
        <w:rPr>
          <w:rFonts w:ascii="Arial" w:hAnsi="Arial" w:cs="Arial"/>
          <w:b/>
          <w:color w:val="005EB8"/>
        </w:rPr>
      </w:pPr>
      <w:bookmarkStart w:id="22" w:name="_Hlk169590588"/>
    </w:p>
    <w:p w14:paraId="2DE73E03" w14:textId="70E84F00" w:rsidR="000546AE" w:rsidRPr="00037267" w:rsidRDefault="000546AE" w:rsidP="000F5154">
      <w:pPr>
        <w:spacing w:after="0"/>
        <w:jc w:val="both"/>
        <w:rPr>
          <w:rFonts w:ascii="Arial" w:hAnsi="Arial" w:cs="Arial"/>
          <w:noProof/>
        </w:rPr>
      </w:pPr>
      <w:r w:rsidRPr="00037267">
        <w:rPr>
          <w:rFonts w:ascii="Arial" w:hAnsi="Arial" w:cs="Arial"/>
          <w:b/>
          <w:noProof/>
          <w:color w:val="005EB8"/>
        </w:rPr>
        <w:t>Complaints, PALS and Compliments Trend</w:t>
      </w:r>
      <w:r w:rsidR="00B34525" w:rsidRPr="00037267">
        <w:rPr>
          <w:rFonts w:ascii="Arial" w:hAnsi="Arial" w:cs="Arial"/>
          <w:b/>
          <w:noProof/>
          <w:color w:val="005EB8"/>
        </w:rPr>
        <w:t xml:space="preserve"> Data</w:t>
      </w:r>
      <w:r w:rsidR="00DF46C8" w:rsidRPr="00037267">
        <w:rPr>
          <w:rFonts w:ascii="Arial" w:hAnsi="Arial" w:cs="Arial"/>
          <w:b/>
          <w:noProof/>
          <w:color w:val="005EB8"/>
        </w:rPr>
        <w:t xml:space="preserve"> </w:t>
      </w:r>
      <w:r w:rsidR="0057060E" w:rsidRPr="00037267">
        <w:rPr>
          <w:rFonts w:ascii="Arial" w:hAnsi="Arial" w:cs="Arial"/>
          <w:b/>
          <w:noProof/>
          <w:color w:val="005EB8"/>
        </w:rPr>
        <w:t>February</w:t>
      </w:r>
      <w:r w:rsidR="00992FCA" w:rsidRPr="00037267">
        <w:rPr>
          <w:rFonts w:ascii="Arial" w:hAnsi="Arial" w:cs="Arial"/>
          <w:b/>
          <w:noProof/>
          <w:color w:val="005EB8"/>
        </w:rPr>
        <w:t xml:space="preserve"> 2025</w:t>
      </w:r>
      <w:r w:rsidR="00DF46C8" w:rsidRPr="00037267">
        <w:rPr>
          <w:rFonts w:ascii="Arial" w:hAnsi="Arial" w:cs="Arial"/>
          <w:b/>
          <w:noProof/>
          <w:color w:val="005EB8"/>
        </w:rPr>
        <w:t xml:space="preserve"> –</w:t>
      </w:r>
      <w:r w:rsidR="00C15C78" w:rsidRPr="00037267">
        <w:rPr>
          <w:rFonts w:ascii="Arial" w:hAnsi="Arial" w:cs="Arial"/>
          <w:b/>
          <w:noProof/>
          <w:color w:val="005EB8"/>
        </w:rPr>
        <w:t xml:space="preserve"> </w:t>
      </w:r>
      <w:r w:rsidR="0057060E" w:rsidRPr="00037267">
        <w:rPr>
          <w:rFonts w:ascii="Arial" w:hAnsi="Arial" w:cs="Arial"/>
          <w:b/>
          <w:bCs/>
          <w:noProof/>
          <w:color w:val="005EB8"/>
        </w:rPr>
        <w:t>Novem</w:t>
      </w:r>
      <w:r w:rsidR="00816127" w:rsidRPr="00037267">
        <w:rPr>
          <w:rFonts w:ascii="Arial" w:hAnsi="Arial" w:cs="Arial"/>
          <w:b/>
          <w:noProof/>
          <w:color w:val="005EB8"/>
        </w:rPr>
        <w:t>ber</w:t>
      </w:r>
      <w:r w:rsidR="00C15C78" w:rsidRPr="00037267">
        <w:rPr>
          <w:rFonts w:ascii="Arial" w:hAnsi="Arial" w:cs="Arial"/>
          <w:b/>
          <w:noProof/>
          <w:color w:val="005EB8"/>
        </w:rPr>
        <w:t xml:space="preserve"> </w:t>
      </w:r>
      <w:r w:rsidR="00DF46C8" w:rsidRPr="00037267">
        <w:rPr>
          <w:rFonts w:ascii="Arial" w:hAnsi="Arial" w:cs="Arial"/>
          <w:b/>
          <w:noProof/>
          <w:color w:val="005EB8"/>
        </w:rPr>
        <w:t>2025</w:t>
      </w:r>
    </w:p>
    <w:bookmarkEnd w:id="22"/>
    <w:p w14:paraId="1B42D3AE" w14:textId="77777777" w:rsidR="002029D8" w:rsidRPr="00037267" w:rsidRDefault="002029D8" w:rsidP="00BB37E1">
      <w:pPr>
        <w:spacing w:after="0"/>
        <w:rPr>
          <w:rFonts w:ascii="Arial" w:hAnsi="Arial" w:cs="Arial"/>
          <w:i/>
          <w:sz w:val="18"/>
          <w:szCs w:val="18"/>
        </w:rPr>
      </w:pPr>
      <w:r w:rsidRPr="00037267">
        <w:rPr>
          <w:rFonts w:ascii="Arial" w:hAnsi="Arial" w:cs="Arial"/>
          <w:i/>
          <w:sz w:val="18"/>
          <w:szCs w:val="18"/>
        </w:rPr>
        <w:t xml:space="preserve"> </w:t>
      </w:r>
    </w:p>
    <w:p w14:paraId="6DBF84D6" w14:textId="7FE2BCD0" w:rsidR="00817935" w:rsidRPr="00037267" w:rsidRDefault="00794F37" w:rsidP="00BB37E1">
      <w:pPr>
        <w:spacing w:after="0"/>
        <w:rPr>
          <w:rFonts w:ascii="Arial" w:hAnsi="Arial" w:cs="Arial"/>
          <w:i/>
          <w:sz w:val="18"/>
          <w:szCs w:val="18"/>
        </w:rPr>
      </w:pPr>
      <w:r w:rsidRPr="00037267">
        <w:rPr>
          <w:rFonts w:ascii="Arial" w:hAnsi="Arial" w:cs="Arial"/>
          <w:i/>
          <w:noProof/>
          <w:sz w:val="18"/>
          <w:szCs w:val="18"/>
        </w:rPr>
        <w:drawing>
          <wp:inline distT="0" distB="0" distL="0" distR="0" wp14:anchorId="5E4BEF41" wp14:editId="473EB95D">
            <wp:extent cx="5228330" cy="3276600"/>
            <wp:effectExtent l="0" t="0" r="0" b="0"/>
            <wp:docPr id="1774530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51768" cy="3291288"/>
                    </a:xfrm>
                    <a:prstGeom prst="rect">
                      <a:avLst/>
                    </a:prstGeom>
                    <a:noFill/>
                  </pic:spPr>
                </pic:pic>
              </a:graphicData>
            </a:graphic>
          </wp:inline>
        </w:drawing>
      </w:r>
    </w:p>
    <w:p w14:paraId="166667D2" w14:textId="77777777" w:rsidR="00C27C2E" w:rsidRPr="00037267" w:rsidRDefault="00C27C2E" w:rsidP="005212A9">
      <w:pPr>
        <w:spacing w:after="0"/>
        <w:rPr>
          <w:rFonts w:ascii="Arial" w:hAnsi="Arial" w:cs="Arial"/>
          <w:b/>
          <w:color w:val="005EB8"/>
        </w:rPr>
      </w:pPr>
    </w:p>
    <w:p w14:paraId="2BCB8E91" w14:textId="48A531F9" w:rsidR="00C93C29" w:rsidRPr="00037267" w:rsidRDefault="005212A9" w:rsidP="00E74C5B">
      <w:pPr>
        <w:spacing w:after="0"/>
        <w:rPr>
          <w:rFonts w:ascii="Arial" w:hAnsi="Arial" w:cs="Arial"/>
          <w:bdr w:val="none" w:sz="0" w:space="0" w:color="auto" w:frame="1"/>
        </w:rPr>
      </w:pPr>
      <w:r w:rsidRPr="00037267">
        <w:rPr>
          <w:rFonts w:ascii="Arial" w:hAnsi="Arial" w:cs="Arial"/>
          <w:b/>
          <w:color w:val="005EB8"/>
        </w:rPr>
        <w:t xml:space="preserve">Table </w:t>
      </w:r>
      <w:r w:rsidR="00ED1BA6" w:rsidRPr="00037267">
        <w:rPr>
          <w:rFonts w:ascii="Arial" w:hAnsi="Arial" w:cs="Arial"/>
          <w:b/>
          <w:color w:val="005EB8"/>
        </w:rPr>
        <w:t>3</w:t>
      </w:r>
      <w:r w:rsidRPr="00037267">
        <w:rPr>
          <w:rFonts w:ascii="Arial" w:hAnsi="Arial" w:cs="Arial"/>
          <w:b/>
          <w:color w:val="005EB8"/>
        </w:rPr>
        <w:t xml:space="preserve">. Number of new Complaints, PALS and Compliments in </w:t>
      </w:r>
      <w:r w:rsidR="0057060E" w:rsidRPr="00037267">
        <w:rPr>
          <w:rFonts w:ascii="Arial" w:hAnsi="Arial" w:cs="Arial"/>
          <w:b/>
          <w:bCs/>
          <w:color w:val="005EB8"/>
        </w:rPr>
        <w:t>Novem</w:t>
      </w:r>
      <w:r w:rsidR="00816127" w:rsidRPr="00037267">
        <w:rPr>
          <w:rFonts w:ascii="Arial" w:hAnsi="Arial" w:cs="Arial"/>
          <w:b/>
          <w:color w:val="005EB8"/>
        </w:rPr>
        <w:t xml:space="preserve">ber </w:t>
      </w:r>
      <w:r w:rsidR="00F957BE" w:rsidRPr="00037267">
        <w:rPr>
          <w:rFonts w:ascii="Arial" w:hAnsi="Arial" w:cs="Arial"/>
          <w:b/>
          <w:color w:val="005EB8"/>
        </w:rPr>
        <w:t>2025</w:t>
      </w:r>
      <w:r w:rsidRPr="00037267">
        <w:rPr>
          <w:rFonts w:ascii="Arial" w:hAnsi="Arial" w:cs="Arial"/>
          <w:b/>
          <w:color w:val="005EB8"/>
        </w:rPr>
        <w:t xml:space="preserve"> with top three wards highlighted </w:t>
      </w:r>
    </w:p>
    <w:tbl>
      <w:tblPr>
        <w:tblW w:w="9460" w:type="dxa"/>
        <w:tblLayout w:type="fixed"/>
        <w:tblLook w:val="04A0" w:firstRow="1" w:lastRow="0" w:firstColumn="1" w:lastColumn="0" w:noHBand="0" w:noVBand="1"/>
      </w:tblPr>
      <w:tblGrid>
        <w:gridCol w:w="1985"/>
        <w:gridCol w:w="1701"/>
        <w:gridCol w:w="1701"/>
        <w:gridCol w:w="1701"/>
        <w:gridCol w:w="2372"/>
      </w:tblGrid>
      <w:tr w:rsidR="00C93C29" w:rsidRPr="00037267" w14:paraId="57CF78FD" w14:textId="77777777" w:rsidTr="002207DA">
        <w:trPr>
          <w:trHeight w:val="290"/>
        </w:trPr>
        <w:tc>
          <w:tcPr>
            <w:tcW w:w="1985" w:type="dxa"/>
            <w:tcBorders>
              <w:top w:val="nil"/>
              <w:left w:val="nil"/>
              <w:bottom w:val="single" w:sz="4" w:space="0" w:color="auto"/>
              <w:right w:val="single" w:sz="4" w:space="0" w:color="auto"/>
            </w:tcBorders>
            <w:noWrap/>
            <w:vAlign w:val="bottom"/>
            <w:hideMark/>
          </w:tcPr>
          <w:p w14:paraId="3B290A4C" w14:textId="77777777" w:rsidR="00C93C29" w:rsidRPr="00037267" w:rsidRDefault="00C93C29" w:rsidP="002207DA">
            <w:pPr>
              <w:spacing w:after="0" w:line="240" w:lineRule="auto"/>
              <w:rPr>
                <w:rFonts w:ascii="Arial" w:eastAsia="Times New Roman" w:hAnsi="Arial" w:cs="Arial"/>
                <w:color w:val="000000"/>
                <w:lang w:eastAsia="en-GB"/>
              </w:rPr>
            </w:pPr>
            <w:bookmarkStart w:id="23" w:name="_Hlk184716045"/>
            <w:r w:rsidRPr="00037267">
              <w:rPr>
                <w:rFonts w:ascii="Arial" w:eastAsia="Times New Roman" w:hAnsi="Arial" w:cs="Arial"/>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307CD33D" w14:textId="77777777" w:rsidR="00C93C29" w:rsidRPr="00037267" w:rsidRDefault="00C93C29" w:rsidP="002207DA">
            <w:pPr>
              <w:spacing w:after="0" w:line="240" w:lineRule="auto"/>
              <w:jc w:val="center"/>
              <w:rPr>
                <w:rFonts w:ascii="Arial" w:eastAsia="Times New Roman" w:hAnsi="Arial" w:cs="Arial"/>
                <w:color w:val="000000"/>
                <w:sz w:val="18"/>
                <w:szCs w:val="18"/>
                <w:lang w:eastAsia="en-GB"/>
              </w:rPr>
            </w:pPr>
            <w:r w:rsidRPr="00037267">
              <w:rPr>
                <w:rFonts w:ascii="Arial" w:eastAsia="Times New Roman" w:hAnsi="Arial" w:cs="Arial"/>
                <w:color w:val="000000"/>
                <w:sz w:val="18"/>
                <w:szCs w:val="18"/>
                <w:lang w:eastAsia="en-GB"/>
              </w:rPr>
              <w:t>Total in month</w:t>
            </w:r>
          </w:p>
        </w:tc>
        <w:tc>
          <w:tcPr>
            <w:tcW w:w="5774"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3FC08588" w14:textId="77777777" w:rsidR="00C93C29" w:rsidRPr="00037267" w:rsidRDefault="00C93C29" w:rsidP="002207DA">
            <w:pPr>
              <w:spacing w:after="0" w:line="240" w:lineRule="auto"/>
              <w:jc w:val="center"/>
              <w:rPr>
                <w:rFonts w:ascii="Arial" w:eastAsia="Times New Roman" w:hAnsi="Arial" w:cs="Arial"/>
                <w:color w:val="000000"/>
                <w:sz w:val="18"/>
                <w:szCs w:val="18"/>
                <w:lang w:eastAsia="en-GB"/>
              </w:rPr>
            </w:pPr>
            <w:r w:rsidRPr="00037267">
              <w:rPr>
                <w:rFonts w:ascii="Arial" w:eastAsia="Times New Roman" w:hAnsi="Arial" w:cs="Arial"/>
                <w:color w:val="000000"/>
                <w:sz w:val="18"/>
                <w:szCs w:val="18"/>
                <w:lang w:eastAsia="en-GB"/>
              </w:rPr>
              <w:t xml:space="preserve">Top </w:t>
            </w:r>
            <w:r w:rsidR="00352162" w:rsidRPr="00037267">
              <w:rPr>
                <w:rFonts w:ascii="Arial" w:eastAsia="Times New Roman" w:hAnsi="Arial" w:cs="Arial"/>
                <w:color w:val="000000"/>
                <w:sz w:val="18"/>
                <w:szCs w:val="18"/>
                <w:lang w:eastAsia="en-GB"/>
              </w:rPr>
              <w:t>Departments</w:t>
            </w:r>
          </w:p>
        </w:tc>
      </w:tr>
      <w:tr w:rsidR="00794F37" w:rsidRPr="00037267" w14:paraId="61F6C271" w14:textId="77777777" w:rsidTr="00794F37">
        <w:trPr>
          <w:trHeight w:val="290"/>
        </w:trPr>
        <w:tc>
          <w:tcPr>
            <w:tcW w:w="1985" w:type="dxa"/>
            <w:tcBorders>
              <w:top w:val="nil"/>
              <w:left w:val="single" w:sz="4" w:space="0" w:color="auto"/>
              <w:bottom w:val="single" w:sz="4" w:space="0" w:color="auto"/>
              <w:right w:val="single" w:sz="4" w:space="0" w:color="auto"/>
            </w:tcBorders>
            <w:noWrap/>
            <w:vAlign w:val="center"/>
          </w:tcPr>
          <w:p w14:paraId="4D615FCB" w14:textId="77777777" w:rsidR="00794F37" w:rsidRPr="00037267" w:rsidRDefault="00794F37" w:rsidP="002207DA">
            <w:pPr>
              <w:spacing w:after="0" w:line="240" w:lineRule="auto"/>
              <w:rPr>
                <w:rFonts w:ascii="Arial" w:eastAsia="Times New Roman" w:hAnsi="Arial" w:cs="Arial"/>
                <w:color w:val="000000"/>
                <w:lang w:eastAsia="en-GB"/>
              </w:rPr>
            </w:pPr>
            <w:r w:rsidRPr="00037267">
              <w:rPr>
                <w:rFonts w:ascii="Arial" w:eastAsia="Times New Roman" w:hAnsi="Arial" w:cs="Arial"/>
                <w:color w:val="000000"/>
                <w:lang w:eastAsia="en-GB"/>
              </w:rPr>
              <w:t>New complaints</w:t>
            </w:r>
          </w:p>
        </w:tc>
        <w:tc>
          <w:tcPr>
            <w:tcW w:w="1701" w:type="dxa"/>
            <w:tcBorders>
              <w:top w:val="nil"/>
              <w:left w:val="nil"/>
              <w:bottom w:val="single" w:sz="4" w:space="0" w:color="auto"/>
              <w:right w:val="single" w:sz="4" w:space="0" w:color="auto"/>
            </w:tcBorders>
            <w:noWrap/>
            <w:vAlign w:val="center"/>
          </w:tcPr>
          <w:p w14:paraId="2BA4DF71" w14:textId="78B90722" w:rsidR="00794F37" w:rsidRPr="00037267" w:rsidRDefault="00794F37" w:rsidP="002207DA">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31</w:t>
            </w:r>
          </w:p>
        </w:tc>
        <w:tc>
          <w:tcPr>
            <w:tcW w:w="1701" w:type="dxa"/>
            <w:tcBorders>
              <w:top w:val="nil"/>
              <w:left w:val="nil"/>
              <w:bottom w:val="single" w:sz="4" w:space="0" w:color="auto"/>
              <w:right w:val="single" w:sz="4" w:space="0" w:color="auto"/>
            </w:tcBorders>
            <w:noWrap/>
            <w:vAlign w:val="center"/>
          </w:tcPr>
          <w:p w14:paraId="6F1CACB8" w14:textId="7C5EBB8C" w:rsidR="00794F37" w:rsidRPr="00037267" w:rsidRDefault="00794F37" w:rsidP="002207DA">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 xml:space="preserve">A&amp;E – 8   </w:t>
            </w:r>
          </w:p>
        </w:tc>
        <w:tc>
          <w:tcPr>
            <w:tcW w:w="1701" w:type="dxa"/>
            <w:tcBorders>
              <w:top w:val="nil"/>
              <w:left w:val="nil"/>
              <w:bottom w:val="single" w:sz="4" w:space="0" w:color="auto"/>
              <w:right w:val="single" w:sz="4" w:space="0" w:color="auto"/>
            </w:tcBorders>
            <w:noWrap/>
            <w:vAlign w:val="center"/>
          </w:tcPr>
          <w:p w14:paraId="66BB675C" w14:textId="06E31622" w:rsidR="00794F37" w:rsidRPr="00037267" w:rsidRDefault="00794F37" w:rsidP="002207DA">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 xml:space="preserve">Harold – 3 </w:t>
            </w:r>
          </w:p>
        </w:tc>
        <w:tc>
          <w:tcPr>
            <w:tcW w:w="2372" w:type="dxa"/>
            <w:tcBorders>
              <w:top w:val="nil"/>
              <w:left w:val="nil"/>
              <w:bottom w:val="single" w:sz="4" w:space="0" w:color="auto"/>
              <w:right w:val="single" w:sz="4" w:space="0" w:color="auto"/>
            </w:tcBorders>
            <w:vAlign w:val="center"/>
          </w:tcPr>
          <w:p w14:paraId="36A7E486" w14:textId="4BD111CB" w:rsidR="00794F37" w:rsidRPr="00037267" w:rsidRDefault="00794F37" w:rsidP="002207DA">
            <w:pPr>
              <w:spacing w:after="0" w:line="240" w:lineRule="auto"/>
              <w:jc w:val="center"/>
              <w:rPr>
                <w:rFonts w:ascii="Arial" w:eastAsia="Times New Roman" w:hAnsi="Arial" w:cs="Arial"/>
                <w:color w:val="000000"/>
                <w:lang w:eastAsia="en-GB"/>
              </w:rPr>
            </w:pPr>
          </w:p>
        </w:tc>
      </w:tr>
      <w:tr w:rsidR="00816127" w:rsidRPr="00037267" w14:paraId="4AFC5714"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528E5A1E" w14:textId="77777777" w:rsidR="00816127" w:rsidRPr="00037267" w:rsidRDefault="00816127" w:rsidP="00816127">
            <w:pPr>
              <w:spacing w:after="0" w:line="240" w:lineRule="auto"/>
              <w:rPr>
                <w:rFonts w:ascii="Arial" w:eastAsia="Times New Roman" w:hAnsi="Arial" w:cs="Arial"/>
                <w:color w:val="000000"/>
                <w:lang w:eastAsia="en-GB"/>
              </w:rPr>
            </w:pPr>
            <w:r w:rsidRPr="00037267">
              <w:rPr>
                <w:rFonts w:ascii="Arial" w:eastAsia="Times New Roman" w:hAnsi="Arial" w:cs="Arial"/>
                <w:color w:val="000000"/>
                <w:lang w:eastAsia="en-GB"/>
              </w:rPr>
              <w:t>PALs</w:t>
            </w:r>
          </w:p>
        </w:tc>
        <w:tc>
          <w:tcPr>
            <w:tcW w:w="1701" w:type="dxa"/>
            <w:tcBorders>
              <w:top w:val="nil"/>
              <w:left w:val="nil"/>
              <w:bottom w:val="single" w:sz="4" w:space="0" w:color="auto"/>
              <w:right w:val="single" w:sz="4" w:space="0" w:color="auto"/>
            </w:tcBorders>
            <w:noWrap/>
            <w:vAlign w:val="center"/>
          </w:tcPr>
          <w:p w14:paraId="3A240E69" w14:textId="78CDC103" w:rsidR="00816127" w:rsidRPr="00037267" w:rsidRDefault="00794F37" w:rsidP="00816127">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75</w:t>
            </w:r>
          </w:p>
        </w:tc>
        <w:tc>
          <w:tcPr>
            <w:tcW w:w="1701" w:type="dxa"/>
            <w:tcBorders>
              <w:top w:val="nil"/>
              <w:left w:val="nil"/>
              <w:bottom w:val="single" w:sz="4" w:space="0" w:color="auto"/>
              <w:right w:val="single" w:sz="4" w:space="0" w:color="auto"/>
            </w:tcBorders>
            <w:noWrap/>
            <w:vAlign w:val="center"/>
          </w:tcPr>
          <w:p w14:paraId="14499FFF" w14:textId="2B29C23A" w:rsidR="00816127" w:rsidRPr="00037267" w:rsidRDefault="00816127" w:rsidP="00816127">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 xml:space="preserve">A&amp;E – </w:t>
            </w:r>
            <w:r w:rsidR="00794F37" w:rsidRPr="00037267">
              <w:rPr>
                <w:rFonts w:ascii="Arial" w:eastAsia="Times New Roman" w:hAnsi="Arial" w:cs="Arial"/>
                <w:color w:val="000000"/>
                <w:lang w:eastAsia="en-GB"/>
              </w:rPr>
              <w:t>21</w:t>
            </w:r>
          </w:p>
        </w:tc>
        <w:tc>
          <w:tcPr>
            <w:tcW w:w="1701" w:type="dxa"/>
            <w:tcBorders>
              <w:top w:val="nil"/>
              <w:left w:val="nil"/>
              <w:bottom w:val="single" w:sz="4" w:space="0" w:color="auto"/>
              <w:right w:val="single" w:sz="4" w:space="0" w:color="auto"/>
            </w:tcBorders>
            <w:noWrap/>
            <w:vAlign w:val="center"/>
          </w:tcPr>
          <w:p w14:paraId="678BC8E9" w14:textId="217F35E3" w:rsidR="00816127" w:rsidRPr="00037267" w:rsidRDefault="00794F37" w:rsidP="00816127">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 xml:space="preserve">Lister – 7 </w:t>
            </w:r>
            <w:r w:rsidR="00E44878" w:rsidRPr="00037267">
              <w:rPr>
                <w:rFonts w:ascii="Arial" w:eastAsia="Times New Roman" w:hAnsi="Arial" w:cs="Arial"/>
                <w:color w:val="000000"/>
                <w:lang w:eastAsia="en-GB"/>
              </w:rPr>
              <w:t xml:space="preserve"> </w:t>
            </w:r>
            <w:r w:rsidR="00816127" w:rsidRPr="00037267">
              <w:rPr>
                <w:rFonts w:ascii="Arial" w:eastAsia="Times New Roman" w:hAnsi="Arial" w:cs="Arial"/>
                <w:color w:val="000000"/>
                <w:lang w:eastAsia="en-GB"/>
              </w:rPr>
              <w:t xml:space="preserve"> </w:t>
            </w:r>
          </w:p>
        </w:tc>
        <w:tc>
          <w:tcPr>
            <w:tcW w:w="2372" w:type="dxa"/>
            <w:tcBorders>
              <w:top w:val="nil"/>
              <w:left w:val="nil"/>
              <w:bottom w:val="single" w:sz="4" w:space="0" w:color="auto"/>
              <w:right w:val="single" w:sz="4" w:space="0" w:color="auto"/>
            </w:tcBorders>
            <w:noWrap/>
            <w:vAlign w:val="center"/>
          </w:tcPr>
          <w:p w14:paraId="78A77339" w14:textId="2EA46FF7" w:rsidR="00816127" w:rsidRPr="00037267" w:rsidRDefault="00816127" w:rsidP="00816127">
            <w:pPr>
              <w:spacing w:after="0" w:line="240" w:lineRule="auto"/>
              <w:jc w:val="center"/>
              <w:rPr>
                <w:rFonts w:ascii="Arial" w:eastAsia="Times New Roman" w:hAnsi="Arial" w:cs="Arial"/>
                <w:color w:val="000000"/>
                <w:lang w:eastAsia="en-GB"/>
              </w:rPr>
            </w:pPr>
          </w:p>
        </w:tc>
      </w:tr>
      <w:tr w:rsidR="00E0765A" w:rsidRPr="00037267" w14:paraId="6E08EE41"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4DA58064" w14:textId="77777777" w:rsidR="00E0765A" w:rsidRPr="00037267" w:rsidRDefault="00E0765A" w:rsidP="002207DA">
            <w:pPr>
              <w:spacing w:after="0" w:line="240" w:lineRule="auto"/>
              <w:rPr>
                <w:rFonts w:ascii="Arial" w:eastAsia="Times New Roman" w:hAnsi="Arial" w:cs="Arial"/>
                <w:color w:val="000000"/>
                <w:lang w:eastAsia="en-GB"/>
              </w:rPr>
            </w:pPr>
            <w:r w:rsidRPr="00037267">
              <w:rPr>
                <w:rFonts w:ascii="Arial" w:eastAsia="Times New Roman" w:hAnsi="Arial" w:cs="Arial"/>
                <w:color w:val="000000"/>
                <w:lang w:eastAsia="en-GB"/>
              </w:rPr>
              <w:t>Compliments</w:t>
            </w:r>
          </w:p>
        </w:tc>
        <w:tc>
          <w:tcPr>
            <w:tcW w:w="1701" w:type="dxa"/>
            <w:tcBorders>
              <w:top w:val="nil"/>
              <w:left w:val="nil"/>
              <w:bottom w:val="single" w:sz="4" w:space="0" w:color="auto"/>
              <w:right w:val="single" w:sz="4" w:space="0" w:color="auto"/>
            </w:tcBorders>
            <w:noWrap/>
            <w:vAlign w:val="center"/>
          </w:tcPr>
          <w:p w14:paraId="613B6C45" w14:textId="47D198E2" w:rsidR="00E0765A" w:rsidRPr="00037267" w:rsidRDefault="00794F37" w:rsidP="002207DA">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2</w:t>
            </w:r>
          </w:p>
        </w:tc>
        <w:tc>
          <w:tcPr>
            <w:tcW w:w="1701" w:type="dxa"/>
            <w:tcBorders>
              <w:top w:val="nil"/>
              <w:left w:val="nil"/>
              <w:bottom w:val="single" w:sz="4" w:space="0" w:color="auto"/>
              <w:right w:val="single" w:sz="4" w:space="0" w:color="auto"/>
            </w:tcBorders>
            <w:noWrap/>
            <w:vAlign w:val="center"/>
          </w:tcPr>
          <w:p w14:paraId="3FB57B24" w14:textId="440C34CD" w:rsidR="00E0765A" w:rsidRPr="00037267" w:rsidRDefault="00794F37" w:rsidP="002207DA">
            <w:pPr>
              <w:spacing w:after="0" w:line="240" w:lineRule="auto"/>
              <w:jc w:val="center"/>
              <w:rPr>
                <w:rFonts w:ascii="Arial" w:eastAsia="Times New Roman" w:hAnsi="Arial" w:cs="Arial"/>
                <w:color w:val="000000"/>
                <w:lang w:eastAsia="en-GB"/>
              </w:rPr>
            </w:pPr>
            <w:r w:rsidRPr="00037267">
              <w:rPr>
                <w:rFonts w:ascii="Arial" w:eastAsia="Times New Roman" w:hAnsi="Arial" w:cs="Arial"/>
                <w:color w:val="000000"/>
                <w:lang w:eastAsia="en-GB"/>
              </w:rPr>
              <w:t xml:space="preserve">A&amp;E – 2 </w:t>
            </w:r>
          </w:p>
        </w:tc>
        <w:tc>
          <w:tcPr>
            <w:tcW w:w="1701" w:type="dxa"/>
            <w:tcBorders>
              <w:top w:val="nil"/>
              <w:left w:val="nil"/>
              <w:bottom w:val="single" w:sz="4" w:space="0" w:color="auto"/>
              <w:right w:val="single" w:sz="4" w:space="0" w:color="auto"/>
            </w:tcBorders>
            <w:noWrap/>
            <w:vAlign w:val="center"/>
          </w:tcPr>
          <w:p w14:paraId="4A7F2F3E" w14:textId="77777777" w:rsidR="00E0765A" w:rsidRPr="00037267" w:rsidRDefault="00E0765A" w:rsidP="002207DA">
            <w:pPr>
              <w:spacing w:after="0" w:line="240" w:lineRule="auto"/>
              <w:jc w:val="center"/>
              <w:rPr>
                <w:rFonts w:ascii="Arial" w:eastAsia="Times New Roman" w:hAnsi="Arial" w:cs="Arial"/>
                <w:color w:val="000000"/>
                <w:lang w:eastAsia="en-GB"/>
              </w:rPr>
            </w:pPr>
          </w:p>
        </w:tc>
        <w:tc>
          <w:tcPr>
            <w:tcW w:w="2372" w:type="dxa"/>
            <w:tcBorders>
              <w:top w:val="nil"/>
              <w:left w:val="nil"/>
              <w:bottom w:val="single" w:sz="4" w:space="0" w:color="auto"/>
              <w:right w:val="single" w:sz="4" w:space="0" w:color="auto"/>
            </w:tcBorders>
            <w:vAlign w:val="center"/>
          </w:tcPr>
          <w:p w14:paraId="3041F962" w14:textId="6A86A545" w:rsidR="00E0765A" w:rsidRPr="00037267" w:rsidRDefault="00E0765A" w:rsidP="002207DA">
            <w:pPr>
              <w:spacing w:after="0" w:line="240" w:lineRule="auto"/>
              <w:jc w:val="center"/>
              <w:rPr>
                <w:rFonts w:ascii="Arial" w:eastAsia="Times New Roman" w:hAnsi="Arial" w:cs="Arial"/>
                <w:color w:val="000000"/>
                <w:lang w:eastAsia="en-GB"/>
              </w:rPr>
            </w:pPr>
          </w:p>
        </w:tc>
      </w:tr>
      <w:bookmarkEnd w:id="23"/>
    </w:tbl>
    <w:p w14:paraId="519992DB" w14:textId="77777777" w:rsidR="000C3FF8" w:rsidRPr="00037267" w:rsidRDefault="000C3FF8" w:rsidP="000C3FF8">
      <w:pPr>
        <w:pStyle w:val="NormalWeb"/>
        <w:shd w:val="clear" w:color="auto" w:fill="FFFFFF"/>
        <w:spacing w:before="0" w:beforeAutospacing="0" w:after="0" w:afterAutospacing="0"/>
        <w:rPr>
          <w:rFonts w:ascii="Arial" w:hAnsi="Arial" w:cs="Arial"/>
          <w:b/>
          <w:bCs/>
          <w:bdr w:val="none" w:sz="0" w:space="0" w:color="auto" w:frame="1"/>
        </w:rPr>
      </w:pPr>
    </w:p>
    <w:p w14:paraId="1788795E" w14:textId="77777777" w:rsidR="00D84F40" w:rsidRPr="00355A9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355A93">
        <w:rPr>
          <w:rFonts w:ascii="Arial" w:hAnsi="Arial" w:cs="Arial"/>
          <w:b/>
          <w:bCs/>
          <w:sz w:val="22"/>
          <w:szCs w:val="22"/>
          <w:bdr w:val="none" w:sz="0" w:space="0" w:color="auto" w:frame="1"/>
        </w:rPr>
        <w:t>Complaints:</w:t>
      </w:r>
      <w:r w:rsidRPr="00355A93">
        <w:rPr>
          <w:rFonts w:ascii="Arial" w:hAnsi="Arial" w:cs="Arial"/>
          <w:sz w:val="22"/>
          <w:szCs w:val="22"/>
          <w:bdr w:val="none" w:sz="0" w:space="0" w:color="auto" w:frame="1"/>
        </w:rPr>
        <w:t xml:space="preserve"> 31 (main themes: medical care 26%, delay 16%, communication 16%).</w:t>
      </w:r>
    </w:p>
    <w:p w14:paraId="69A4CA89" w14:textId="77777777" w:rsidR="00D84F40" w:rsidRPr="00355A9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355A93">
        <w:rPr>
          <w:rFonts w:ascii="Arial" w:hAnsi="Arial" w:cs="Arial"/>
          <w:sz w:val="22"/>
          <w:szCs w:val="22"/>
          <w:bdr w:val="none" w:sz="0" w:space="0" w:color="auto" w:frame="1"/>
        </w:rPr>
        <w:br/>
      </w:r>
      <w:r w:rsidRPr="00355A93">
        <w:rPr>
          <w:rFonts w:ascii="Arial" w:hAnsi="Arial" w:cs="Arial"/>
          <w:b/>
          <w:bCs/>
          <w:sz w:val="22"/>
          <w:szCs w:val="22"/>
          <w:bdr w:val="none" w:sz="0" w:space="0" w:color="auto" w:frame="1"/>
        </w:rPr>
        <w:t>PALS:</w:t>
      </w:r>
      <w:r w:rsidRPr="00355A93">
        <w:rPr>
          <w:rFonts w:ascii="Arial" w:hAnsi="Arial" w:cs="Arial"/>
          <w:sz w:val="22"/>
          <w:szCs w:val="22"/>
          <w:bdr w:val="none" w:sz="0" w:space="0" w:color="auto" w:frame="1"/>
        </w:rPr>
        <w:t xml:space="preserve"> 75 (themes: delay 36%, communication 25%, appointments 10%).</w:t>
      </w:r>
    </w:p>
    <w:p w14:paraId="71FADD3B" w14:textId="77777777" w:rsidR="00D84F40" w:rsidRPr="00355A9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355A93">
        <w:rPr>
          <w:rFonts w:ascii="Arial" w:hAnsi="Arial" w:cs="Arial"/>
          <w:sz w:val="22"/>
          <w:szCs w:val="22"/>
          <w:bdr w:val="none" w:sz="0" w:space="0" w:color="auto" w:frame="1"/>
        </w:rPr>
        <w:br/>
      </w:r>
      <w:r w:rsidRPr="00355A93">
        <w:rPr>
          <w:rFonts w:ascii="Arial" w:hAnsi="Arial" w:cs="Arial"/>
          <w:b/>
          <w:bCs/>
          <w:sz w:val="22"/>
          <w:szCs w:val="22"/>
          <w:bdr w:val="none" w:sz="0" w:space="0" w:color="auto" w:frame="1"/>
        </w:rPr>
        <w:t>Compliments:</w:t>
      </w:r>
      <w:r w:rsidRPr="00355A93">
        <w:rPr>
          <w:rFonts w:ascii="Arial" w:hAnsi="Arial" w:cs="Arial"/>
          <w:sz w:val="22"/>
          <w:szCs w:val="22"/>
          <w:bdr w:val="none" w:sz="0" w:space="0" w:color="auto" w:frame="1"/>
        </w:rPr>
        <w:t xml:space="preserve"> Only 2 recorded; themes not provided—data capture remains inconsistent.</w:t>
      </w:r>
    </w:p>
    <w:p w14:paraId="40061D1D" w14:textId="77777777" w:rsidR="00D84F40" w:rsidRDefault="00D84F40" w:rsidP="00D84F40">
      <w:pPr>
        <w:pStyle w:val="NormalWeb"/>
        <w:shd w:val="clear" w:color="auto" w:fill="FFFFFF"/>
        <w:rPr>
          <w:rFonts w:ascii="Arial" w:eastAsiaTheme="minorHAnsi" w:hAnsi="Arial" w:cs="Arial"/>
          <w:b/>
          <w:color w:val="005EB8"/>
          <w:sz w:val="22"/>
          <w:szCs w:val="22"/>
          <w:lang w:eastAsia="en-US"/>
        </w:rPr>
      </w:pPr>
      <w:r w:rsidRPr="000C3FF8">
        <w:rPr>
          <w:rFonts w:ascii="Arial" w:eastAsiaTheme="minorHAnsi" w:hAnsi="Arial" w:cs="Arial"/>
          <w:b/>
          <w:color w:val="005EB8"/>
          <w:sz w:val="22"/>
          <w:szCs w:val="22"/>
          <w:lang w:eastAsia="en-US"/>
        </w:rPr>
        <w:t>Appendix 4 Summary</w:t>
      </w:r>
    </w:p>
    <w:p w14:paraId="4597C4F7"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Quality indicators for November present a mixed picture. Falls increased slightly, with a corresponding rise in harm-related cases, and pressure ulcers demonstrated a notable upward trend, indicating ongoing fragility in pressure care. Patient experience data continues to highlight recurring themes of delays and communication within complaints and PALS, alongside very low capture of compliments, limiting visibility of positive patient experiences.</w:t>
      </w:r>
    </w:p>
    <w:p w14:paraId="6A6C12FE"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lang w:eastAsia="en-GB"/>
        </w:rPr>
        <w:t xml:space="preserve">Despite these concerns, assurance is supported by high mandatory training compliance (&gt;97%) and active improvement actions, including the introduction of a new tissue viability monitoring system and the launch of the </w:t>
      </w:r>
      <w:r w:rsidRPr="00B955FC">
        <w:rPr>
          <w:rFonts w:ascii="Arial" w:eastAsia="Times New Roman" w:hAnsi="Arial" w:cs="Arial"/>
          <w:b/>
          <w:bCs/>
          <w:lang w:eastAsia="en-GB"/>
        </w:rPr>
        <w:t>“All you have to do is ASK”</w:t>
      </w:r>
      <w:r w:rsidRPr="00B955FC">
        <w:rPr>
          <w:rFonts w:ascii="Arial" w:eastAsia="Times New Roman" w:hAnsi="Arial" w:cs="Arial"/>
          <w:lang w:eastAsia="en-GB"/>
        </w:rPr>
        <w:t xml:space="preserve"> campaign.</w:t>
      </w:r>
    </w:p>
    <w:p w14:paraId="4F217D41" w14:textId="77777777" w:rsidR="00D84F40" w:rsidRPr="00B955FC" w:rsidRDefault="00D84F40" w:rsidP="00D84F40">
      <w:pPr>
        <w:spacing w:before="100" w:beforeAutospacing="1" w:after="100" w:afterAutospacing="1" w:line="240" w:lineRule="auto"/>
        <w:rPr>
          <w:rFonts w:ascii="Arial" w:eastAsia="Times New Roman" w:hAnsi="Arial" w:cs="Arial"/>
          <w:lang w:eastAsia="en-GB"/>
        </w:rPr>
      </w:pPr>
      <w:r w:rsidRPr="00B955FC">
        <w:rPr>
          <w:rFonts w:ascii="Arial" w:eastAsia="Times New Roman" w:hAnsi="Arial" w:cs="Arial"/>
          <w:b/>
          <w:bCs/>
          <w:lang w:eastAsia="en-GB"/>
        </w:rPr>
        <w:t>Overall assessment:</w:t>
      </w:r>
      <w:r w:rsidRPr="00B955FC">
        <w:rPr>
          <w:rFonts w:ascii="Arial" w:eastAsia="Times New Roman" w:hAnsi="Arial" w:cs="Arial"/>
          <w:lang w:eastAsia="en-GB"/>
        </w:rPr>
        <w:t xml:space="preserve"> Quality remains under close review, with mitigating actions in place; however, upward harm trends require sustained leadership focus and continued oversight to ensure improvement is embedded.</w:t>
      </w:r>
    </w:p>
    <w:p w14:paraId="254FBF8A" w14:textId="77777777" w:rsidR="000C3FF8" w:rsidRPr="00037267" w:rsidRDefault="000C3FF8" w:rsidP="00D84F40">
      <w:pPr>
        <w:pStyle w:val="NormalWeb"/>
        <w:shd w:val="clear" w:color="auto" w:fill="FFFFFF"/>
        <w:spacing w:before="0" w:beforeAutospacing="0" w:after="0" w:afterAutospacing="0"/>
        <w:jc w:val="both"/>
        <w:rPr>
          <w:rFonts w:ascii="Arial" w:eastAsiaTheme="minorHAnsi" w:hAnsi="Arial" w:cs="Arial"/>
          <w:b/>
          <w:color w:val="005EB8"/>
          <w:sz w:val="22"/>
          <w:szCs w:val="22"/>
          <w:lang w:eastAsia="en-US"/>
        </w:rPr>
      </w:pPr>
    </w:p>
    <w:sectPr w:rsidR="000C3FF8" w:rsidRPr="00037267" w:rsidSect="000C3FF8">
      <w:headerReference w:type="default" r:id="rId34"/>
      <w:footerReference w:type="default" r:id="rId35"/>
      <w:pgSz w:w="11906" w:h="16838"/>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F774" w14:textId="77777777" w:rsidR="0034229D" w:rsidRDefault="0034229D" w:rsidP="00D5055D">
      <w:pPr>
        <w:spacing w:after="0" w:line="240" w:lineRule="auto"/>
      </w:pPr>
      <w:r>
        <w:separator/>
      </w:r>
    </w:p>
  </w:endnote>
  <w:endnote w:type="continuationSeparator" w:id="0">
    <w:p w14:paraId="7B161028" w14:textId="77777777" w:rsidR="0034229D" w:rsidRDefault="0034229D" w:rsidP="00D5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0815"/>
      <w:docPartObj>
        <w:docPartGallery w:val="Page Numbers (Bottom of Page)"/>
        <w:docPartUnique/>
      </w:docPartObj>
    </w:sdtPr>
    <w:sdtEndPr>
      <w:rPr>
        <w:noProof/>
      </w:rPr>
    </w:sdtEndPr>
    <w:sdtContent>
      <w:p w14:paraId="51203D81" w14:textId="77777777" w:rsidR="001C6808" w:rsidRDefault="001C6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5860" w14:textId="77777777" w:rsidR="001C6808" w:rsidRDefault="001C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CBFD" w14:textId="77777777" w:rsidR="0034229D" w:rsidRDefault="0034229D" w:rsidP="00D5055D">
      <w:pPr>
        <w:spacing w:after="0" w:line="240" w:lineRule="auto"/>
      </w:pPr>
      <w:r>
        <w:separator/>
      </w:r>
    </w:p>
  </w:footnote>
  <w:footnote w:type="continuationSeparator" w:id="0">
    <w:p w14:paraId="0D5D9B75" w14:textId="77777777" w:rsidR="0034229D" w:rsidRDefault="0034229D" w:rsidP="00D50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C6D7" w14:textId="5A9BD980" w:rsidR="00587EE5" w:rsidRDefault="00587EE5">
    <w:pPr>
      <w:pStyle w:val="Header"/>
    </w:pPr>
    <w:r>
      <w:rPr>
        <w:noProof/>
        <w:sz w:val="16"/>
        <w:szCs w:val="16"/>
      </w:rPr>
      <w:drawing>
        <wp:anchor distT="0" distB="0" distL="114300" distR="114300" simplePos="0" relativeHeight="251659264" behindDoc="1" locked="0" layoutInCell="1" allowOverlap="1" wp14:anchorId="27F3E043" wp14:editId="31CC731D">
          <wp:simplePos x="0" y="0"/>
          <wp:positionH relativeFrom="column">
            <wp:posOffset>4552950</wp:posOffset>
          </wp:positionH>
          <wp:positionV relativeFrom="paragraph">
            <wp:posOffset>-278765</wp:posOffset>
          </wp:positionV>
          <wp:extent cx="1801495" cy="809625"/>
          <wp:effectExtent l="0" t="0" r="8255" b="9525"/>
          <wp:wrapTight wrapText="bothSides">
            <wp:wrapPolygon edited="0">
              <wp:start x="14161" y="0"/>
              <wp:lineTo x="10964" y="8132"/>
              <wp:lineTo x="0" y="8132"/>
              <wp:lineTo x="0" y="12706"/>
              <wp:lineTo x="13476" y="16264"/>
              <wp:lineTo x="14847" y="21346"/>
              <wp:lineTo x="15075" y="21346"/>
              <wp:lineTo x="21471" y="21346"/>
              <wp:lineTo x="21471" y="0"/>
              <wp:lineTo x="14161" y="0"/>
            </wp:wrapPolygon>
          </wp:wrapTight>
          <wp:docPr id="1832509080" name="Picture 183250908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09080" name="Picture 1832509080"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495"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0F78"/>
    <w:multiLevelType w:val="hybridMultilevel"/>
    <w:tmpl w:val="5F6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C86"/>
    <w:multiLevelType w:val="hybridMultilevel"/>
    <w:tmpl w:val="493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35CCC"/>
    <w:multiLevelType w:val="multilevel"/>
    <w:tmpl w:val="750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65834"/>
    <w:multiLevelType w:val="hybridMultilevel"/>
    <w:tmpl w:val="2698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53C38"/>
    <w:multiLevelType w:val="hybridMultilevel"/>
    <w:tmpl w:val="077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66D92"/>
    <w:multiLevelType w:val="hybridMultilevel"/>
    <w:tmpl w:val="7A32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60956"/>
    <w:multiLevelType w:val="hybridMultilevel"/>
    <w:tmpl w:val="A576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936345"/>
    <w:multiLevelType w:val="hybridMultilevel"/>
    <w:tmpl w:val="4FAC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E6F70"/>
    <w:multiLevelType w:val="hybridMultilevel"/>
    <w:tmpl w:val="DD9C5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213FB"/>
    <w:multiLevelType w:val="hybridMultilevel"/>
    <w:tmpl w:val="A8E2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D13C88"/>
    <w:multiLevelType w:val="hybridMultilevel"/>
    <w:tmpl w:val="CAD6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64406"/>
    <w:multiLevelType w:val="hybridMultilevel"/>
    <w:tmpl w:val="4BF6935A"/>
    <w:lvl w:ilvl="0" w:tplc="02B40C5A">
      <w:start w:val="1"/>
      <w:numFmt w:val="bullet"/>
      <w:lvlText w:val="•"/>
      <w:lvlJc w:val="left"/>
      <w:pPr>
        <w:ind w:left="1080" w:hanging="72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752D0"/>
    <w:multiLevelType w:val="multilevel"/>
    <w:tmpl w:val="82E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B53E95"/>
    <w:multiLevelType w:val="multilevel"/>
    <w:tmpl w:val="4BD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52680"/>
    <w:multiLevelType w:val="multilevel"/>
    <w:tmpl w:val="532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609EB"/>
    <w:multiLevelType w:val="hybridMultilevel"/>
    <w:tmpl w:val="8126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53C95"/>
    <w:multiLevelType w:val="hybridMultilevel"/>
    <w:tmpl w:val="E15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77300"/>
    <w:multiLevelType w:val="hybridMultilevel"/>
    <w:tmpl w:val="27EE3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F6AA0"/>
    <w:multiLevelType w:val="hybridMultilevel"/>
    <w:tmpl w:val="1DE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A38F3"/>
    <w:multiLevelType w:val="hybridMultilevel"/>
    <w:tmpl w:val="024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8599">
    <w:abstractNumId w:val="6"/>
  </w:num>
  <w:num w:numId="2" w16cid:durableId="420567533">
    <w:abstractNumId w:val="10"/>
  </w:num>
  <w:num w:numId="3" w16cid:durableId="591595707">
    <w:abstractNumId w:val="18"/>
  </w:num>
  <w:num w:numId="4" w16cid:durableId="218326067">
    <w:abstractNumId w:val="10"/>
  </w:num>
  <w:num w:numId="5" w16cid:durableId="226501486">
    <w:abstractNumId w:val="9"/>
  </w:num>
  <w:num w:numId="6" w16cid:durableId="989672077">
    <w:abstractNumId w:val="8"/>
  </w:num>
  <w:num w:numId="7" w16cid:durableId="1890604025">
    <w:abstractNumId w:val="4"/>
  </w:num>
  <w:num w:numId="8" w16cid:durableId="851532055">
    <w:abstractNumId w:val="7"/>
  </w:num>
  <w:num w:numId="9" w16cid:durableId="835073036">
    <w:abstractNumId w:val="19"/>
  </w:num>
  <w:num w:numId="10" w16cid:durableId="420570514">
    <w:abstractNumId w:val="15"/>
  </w:num>
  <w:num w:numId="11" w16cid:durableId="447087804">
    <w:abstractNumId w:val="16"/>
  </w:num>
  <w:num w:numId="12" w16cid:durableId="2130512493">
    <w:abstractNumId w:val="0"/>
  </w:num>
  <w:num w:numId="13" w16cid:durableId="1886215999">
    <w:abstractNumId w:val="13"/>
  </w:num>
  <w:num w:numId="14" w16cid:durableId="248319889">
    <w:abstractNumId w:val="2"/>
  </w:num>
  <w:num w:numId="15" w16cid:durableId="249239886">
    <w:abstractNumId w:val="12"/>
  </w:num>
  <w:num w:numId="16" w16cid:durableId="1732777274">
    <w:abstractNumId w:val="1"/>
  </w:num>
  <w:num w:numId="17" w16cid:durableId="1837071686">
    <w:abstractNumId w:val="5"/>
  </w:num>
  <w:num w:numId="18" w16cid:durableId="1149205702">
    <w:abstractNumId w:val="14"/>
  </w:num>
  <w:num w:numId="19" w16cid:durableId="1050302742">
    <w:abstractNumId w:val="17"/>
  </w:num>
  <w:num w:numId="20" w16cid:durableId="1460297790">
    <w:abstractNumId w:val="11"/>
  </w:num>
  <w:num w:numId="21" w16cid:durableId="196584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E7"/>
    <w:rsid w:val="000000E6"/>
    <w:rsid w:val="0000058F"/>
    <w:rsid w:val="00000838"/>
    <w:rsid w:val="00001388"/>
    <w:rsid w:val="000016C1"/>
    <w:rsid w:val="00001B5C"/>
    <w:rsid w:val="00002510"/>
    <w:rsid w:val="0000358E"/>
    <w:rsid w:val="00007B61"/>
    <w:rsid w:val="00011343"/>
    <w:rsid w:val="00011A7E"/>
    <w:rsid w:val="0001312F"/>
    <w:rsid w:val="00020F01"/>
    <w:rsid w:val="0002178E"/>
    <w:rsid w:val="000241A6"/>
    <w:rsid w:val="00027921"/>
    <w:rsid w:val="00030519"/>
    <w:rsid w:val="00030B8D"/>
    <w:rsid w:val="0003163F"/>
    <w:rsid w:val="000343F5"/>
    <w:rsid w:val="00034B59"/>
    <w:rsid w:val="00035639"/>
    <w:rsid w:val="00035791"/>
    <w:rsid w:val="00036BB6"/>
    <w:rsid w:val="00036EF8"/>
    <w:rsid w:val="00037267"/>
    <w:rsid w:val="00043BEF"/>
    <w:rsid w:val="000459DD"/>
    <w:rsid w:val="00046236"/>
    <w:rsid w:val="00050565"/>
    <w:rsid w:val="00053F8C"/>
    <w:rsid w:val="000546AE"/>
    <w:rsid w:val="000550E9"/>
    <w:rsid w:val="000569D4"/>
    <w:rsid w:val="0005782C"/>
    <w:rsid w:val="00057AC0"/>
    <w:rsid w:val="00061918"/>
    <w:rsid w:val="000672FA"/>
    <w:rsid w:val="00067DD4"/>
    <w:rsid w:val="00074633"/>
    <w:rsid w:val="000770CF"/>
    <w:rsid w:val="00080C94"/>
    <w:rsid w:val="00083B78"/>
    <w:rsid w:val="00085114"/>
    <w:rsid w:val="000851F7"/>
    <w:rsid w:val="0008530D"/>
    <w:rsid w:val="00086263"/>
    <w:rsid w:val="00086BAC"/>
    <w:rsid w:val="000901DA"/>
    <w:rsid w:val="000940AB"/>
    <w:rsid w:val="000945FC"/>
    <w:rsid w:val="00097D2C"/>
    <w:rsid w:val="000A1D87"/>
    <w:rsid w:val="000A679A"/>
    <w:rsid w:val="000B050A"/>
    <w:rsid w:val="000B108D"/>
    <w:rsid w:val="000B1B95"/>
    <w:rsid w:val="000B414F"/>
    <w:rsid w:val="000B5324"/>
    <w:rsid w:val="000B77EF"/>
    <w:rsid w:val="000C3FF8"/>
    <w:rsid w:val="000C530E"/>
    <w:rsid w:val="000C700D"/>
    <w:rsid w:val="000D0200"/>
    <w:rsid w:val="000D08D2"/>
    <w:rsid w:val="000D28F1"/>
    <w:rsid w:val="000D52CA"/>
    <w:rsid w:val="000D6EDF"/>
    <w:rsid w:val="000D7045"/>
    <w:rsid w:val="000D7B71"/>
    <w:rsid w:val="000E1345"/>
    <w:rsid w:val="000E1932"/>
    <w:rsid w:val="000E3942"/>
    <w:rsid w:val="000E48FB"/>
    <w:rsid w:val="000E4C54"/>
    <w:rsid w:val="000E61D0"/>
    <w:rsid w:val="000E7AAD"/>
    <w:rsid w:val="000F03F1"/>
    <w:rsid w:val="000F065C"/>
    <w:rsid w:val="000F5154"/>
    <w:rsid w:val="0010151C"/>
    <w:rsid w:val="00103EEB"/>
    <w:rsid w:val="00104D9D"/>
    <w:rsid w:val="00104E67"/>
    <w:rsid w:val="00106166"/>
    <w:rsid w:val="00110810"/>
    <w:rsid w:val="001127D9"/>
    <w:rsid w:val="00114B1B"/>
    <w:rsid w:val="001152A6"/>
    <w:rsid w:val="00115860"/>
    <w:rsid w:val="001166D3"/>
    <w:rsid w:val="00116820"/>
    <w:rsid w:val="001173E5"/>
    <w:rsid w:val="00122656"/>
    <w:rsid w:val="0012522F"/>
    <w:rsid w:val="00130DF5"/>
    <w:rsid w:val="00132CBE"/>
    <w:rsid w:val="001335E8"/>
    <w:rsid w:val="0013642A"/>
    <w:rsid w:val="001421A3"/>
    <w:rsid w:val="00144FC9"/>
    <w:rsid w:val="00147591"/>
    <w:rsid w:val="00152A5A"/>
    <w:rsid w:val="001552B6"/>
    <w:rsid w:val="001614CD"/>
    <w:rsid w:val="00161EAE"/>
    <w:rsid w:val="0016272C"/>
    <w:rsid w:val="0016331B"/>
    <w:rsid w:val="001634B9"/>
    <w:rsid w:val="0017214C"/>
    <w:rsid w:val="00173D20"/>
    <w:rsid w:val="00174837"/>
    <w:rsid w:val="00175495"/>
    <w:rsid w:val="001774E5"/>
    <w:rsid w:val="0018040E"/>
    <w:rsid w:val="00181BCD"/>
    <w:rsid w:val="0018314C"/>
    <w:rsid w:val="00191E26"/>
    <w:rsid w:val="001960CA"/>
    <w:rsid w:val="00196127"/>
    <w:rsid w:val="00196C58"/>
    <w:rsid w:val="001A26D0"/>
    <w:rsid w:val="001A69CE"/>
    <w:rsid w:val="001B1E40"/>
    <w:rsid w:val="001C19F5"/>
    <w:rsid w:val="001C462E"/>
    <w:rsid w:val="001C6808"/>
    <w:rsid w:val="001C6C9E"/>
    <w:rsid w:val="001C7340"/>
    <w:rsid w:val="001D00DB"/>
    <w:rsid w:val="001D029E"/>
    <w:rsid w:val="001D03AD"/>
    <w:rsid w:val="001D18C4"/>
    <w:rsid w:val="001D1BDA"/>
    <w:rsid w:val="001D274F"/>
    <w:rsid w:val="001D3EF4"/>
    <w:rsid w:val="001D7651"/>
    <w:rsid w:val="001E07CC"/>
    <w:rsid w:val="001E29C2"/>
    <w:rsid w:val="001E2B8D"/>
    <w:rsid w:val="001E2E0B"/>
    <w:rsid w:val="001E3B4E"/>
    <w:rsid w:val="001E6EC4"/>
    <w:rsid w:val="001E7846"/>
    <w:rsid w:val="001F0FA5"/>
    <w:rsid w:val="001F41A7"/>
    <w:rsid w:val="001F47E2"/>
    <w:rsid w:val="00200D41"/>
    <w:rsid w:val="00201176"/>
    <w:rsid w:val="0020189F"/>
    <w:rsid w:val="002029D8"/>
    <w:rsid w:val="00205904"/>
    <w:rsid w:val="00206669"/>
    <w:rsid w:val="00206CA8"/>
    <w:rsid w:val="002207DA"/>
    <w:rsid w:val="00220ED6"/>
    <w:rsid w:val="00220FD6"/>
    <w:rsid w:val="00221071"/>
    <w:rsid w:val="0022419A"/>
    <w:rsid w:val="0022457B"/>
    <w:rsid w:val="002245AB"/>
    <w:rsid w:val="00227679"/>
    <w:rsid w:val="00232D4C"/>
    <w:rsid w:val="002342A3"/>
    <w:rsid w:val="002344E1"/>
    <w:rsid w:val="00236BE4"/>
    <w:rsid w:val="00240491"/>
    <w:rsid w:val="00242044"/>
    <w:rsid w:val="00243286"/>
    <w:rsid w:val="002443FD"/>
    <w:rsid w:val="002449E4"/>
    <w:rsid w:val="0024516F"/>
    <w:rsid w:val="00252BE7"/>
    <w:rsid w:val="002538AF"/>
    <w:rsid w:val="00257128"/>
    <w:rsid w:val="00257188"/>
    <w:rsid w:val="0026003E"/>
    <w:rsid w:val="0026163B"/>
    <w:rsid w:val="00262163"/>
    <w:rsid w:val="002626C5"/>
    <w:rsid w:val="0026390F"/>
    <w:rsid w:val="00267BF9"/>
    <w:rsid w:val="002722F4"/>
    <w:rsid w:val="002823CA"/>
    <w:rsid w:val="002824BB"/>
    <w:rsid w:val="002825CA"/>
    <w:rsid w:val="0028446D"/>
    <w:rsid w:val="00284DEB"/>
    <w:rsid w:val="002862F5"/>
    <w:rsid w:val="00290B7D"/>
    <w:rsid w:val="00293B77"/>
    <w:rsid w:val="00295C4E"/>
    <w:rsid w:val="00297B7E"/>
    <w:rsid w:val="002A1FEE"/>
    <w:rsid w:val="002A362A"/>
    <w:rsid w:val="002A5BB8"/>
    <w:rsid w:val="002A775D"/>
    <w:rsid w:val="002A7A59"/>
    <w:rsid w:val="002A7C78"/>
    <w:rsid w:val="002A7E9D"/>
    <w:rsid w:val="002B0225"/>
    <w:rsid w:val="002B331E"/>
    <w:rsid w:val="002B4051"/>
    <w:rsid w:val="002B5DCF"/>
    <w:rsid w:val="002B6E67"/>
    <w:rsid w:val="002C0800"/>
    <w:rsid w:val="002C0BCD"/>
    <w:rsid w:val="002C17D1"/>
    <w:rsid w:val="002C3C9B"/>
    <w:rsid w:val="002C74DA"/>
    <w:rsid w:val="002D1307"/>
    <w:rsid w:val="002D2175"/>
    <w:rsid w:val="002D39A2"/>
    <w:rsid w:val="002D42C1"/>
    <w:rsid w:val="002D4DCB"/>
    <w:rsid w:val="002D6B3C"/>
    <w:rsid w:val="002E13A6"/>
    <w:rsid w:val="002E2E82"/>
    <w:rsid w:val="002E3A67"/>
    <w:rsid w:val="002E4993"/>
    <w:rsid w:val="002E4D41"/>
    <w:rsid w:val="002F19BE"/>
    <w:rsid w:val="002F35EC"/>
    <w:rsid w:val="002F3702"/>
    <w:rsid w:val="002F4AE5"/>
    <w:rsid w:val="002F4C38"/>
    <w:rsid w:val="002F6D12"/>
    <w:rsid w:val="002F6FFC"/>
    <w:rsid w:val="002F7906"/>
    <w:rsid w:val="00300346"/>
    <w:rsid w:val="0030038F"/>
    <w:rsid w:val="003005D3"/>
    <w:rsid w:val="003036B9"/>
    <w:rsid w:val="00303A61"/>
    <w:rsid w:val="003057C3"/>
    <w:rsid w:val="003108CE"/>
    <w:rsid w:val="00310FCB"/>
    <w:rsid w:val="003126DF"/>
    <w:rsid w:val="00314123"/>
    <w:rsid w:val="003142CA"/>
    <w:rsid w:val="00314EAC"/>
    <w:rsid w:val="003173C5"/>
    <w:rsid w:val="00317DE5"/>
    <w:rsid w:val="00317FF1"/>
    <w:rsid w:val="00320056"/>
    <w:rsid w:val="0032421C"/>
    <w:rsid w:val="00325EA7"/>
    <w:rsid w:val="003313F7"/>
    <w:rsid w:val="00331F7D"/>
    <w:rsid w:val="003325F2"/>
    <w:rsid w:val="003356AA"/>
    <w:rsid w:val="003401CC"/>
    <w:rsid w:val="003406DF"/>
    <w:rsid w:val="003409FA"/>
    <w:rsid w:val="0034229D"/>
    <w:rsid w:val="0034779E"/>
    <w:rsid w:val="0035044B"/>
    <w:rsid w:val="00352162"/>
    <w:rsid w:val="003532F1"/>
    <w:rsid w:val="003611E2"/>
    <w:rsid w:val="00361A34"/>
    <w:rsid w:val="00362578"/>
    <w:rsid w:val="00364A41"/>
    <w:rsid w:val="00364CCE"/>
    <w:rsid w:val="00365742"/>
    <w:rsid w:val="00365A27"/>
    <w:rsid w:val="00365EE3"/>
    <w:rsid w:val="0036724A"/>
    <w:rsid w:val="003707FA"/>
    <w:rsid w:val="00370B86"/>
    <w:rsid w:val="00373BE6"/>
    <w:rsid w:val="003751C3"/>
    <w:rsid w:val="0037713E"/>
    <w:rsid w:val="00384F4C"/>
    <w:rsid w:val="00385A80"/>
    <w:rsid w:val="00394834"/>
    <w:rsid w:val="003A039D"/>
    <w:rsid w:val="003A0C2A"/>
    <w:rsid w:val="003A275C"/>
    <w:rsid w:val="003A3985"/>
    <w:rsid w:val="003A3F4D"/>
    <w:rsid w:val="003A502B"/>
    <w:rsid w:val="003A6055"/>
    <w:rsid w:val="003B193A"/>
    <w:rsid w:val="003B2B39"/>
    <w:rsid w:val="003B2DE0"/>
    <w:rsid w:val="003B36C7"/>
    <w:rsid w:val="003B3768"/>
    <w:rsid w:val="003B3FF8"/>
    <w:rsid w:val="003B440A"/>
    <w:rsid w:val="003B548E"/>
    <w:rsid w:val="003B60D9"/>
    <w:rsid w:val="003C2A66"/>
    <w:rsid w:val="003C5726"/>
    <w:rsid w:val="003C5C7B"/>
    <w:rsid w:val="003D0C69"/>
    <w:rsid w:val="003D1647"/>
    <w:rsid w:val="003D19DA"/>
    <w:rsid w:val="003D3EB9"/>
    <w:rsid w:val="003D58E1"/>
    <w:rsid w:val="003D5BB1"/>
    <w:rsid w:val="003D6BC4"/>
    <w:rsid w:val="003E0E19"/>
    <w:rsid w:val="003E65CE"/>
    <w:rsid w:val="003F03E3"/>
    <w:rsid w:val="003F17A9"/>
    <w:rsid w:val="003F33E4"/>
    <w:rsid w:val="003F39C5"/>
    <w:rsid w:val="003F4460"/>
    <w:rsid w:val="003F476C"/>
    <w:rsid w:val="003F4D5D"/>
    <w:rsid w:val="003F5625"/>
    <w:rsid w:val="003F7571"/>
    <w:rsid w:val="00400CCA"/>
    <w:rsid w:val="00401475"/>
    <w:rsid w:val="00401890"/>
    <w:rsid w:val="00402DEE"/>
    <w:rsid w:val="004032B8"/>
    <w:rsid w:val="0040335C"/>
    <w:rsid w:val="004033D3"/>
    <w:rsid w:val="0040343C"/>
    <w:rsid w:val="00405897"/>
    <w:rsid w:val="0040724E"/>
    <w:rsid w:val="00410E9E"/>
    <w:rsid w:val="00414F52"/>
    <w:rsid w:val="00420F4A"/>
    <w:rsid w:val="00422E89"/>
    <w:rsid w:val="00423544"/>
    <w:rsid w:val="00423B05"/>
    <w:rsid w:val="00424086"/>
    <w:rsid w:val="0042601F"/>
    <w:rsid w:val="0043051E"/>
    <w:rsid w:val="0043100E"/>
    <w:rsid w:val="00431173"/>
    <w:rsid w:val="004329D0"/>
    <w:rsid w:val="004353BF"/>
    <w:rsid w:val="00435F70"/>
    <w:rsid w:val="00436B6C"/>
    <w:rsid w:val="00441630"/>
    <w:rsid w:val="0044481A"/>
    <w:rsid w:val="00444BC7"/>
    <w:rsid w:val="004476F8"/>
    <w:rsid w:val="00450BAA"/>
    <w:rsid w:val="00451AB7"/>
    <w:rsid w:val="00454641"/>
    <w:rsid w:val="00455E47"/>
    <w:rsid w:val="00456006"/>
    <w:rsid w:val="004565F2"/>
    <w:rsid w:val="004576F8"/>
    <w:rsid w:val="00457C4F"/>
    <w:rsid w:val="0046071F"/>
    <w:rsid w:val="0046186F"/>
    <w:rsid w:val="00461C11"/>
    <w:rsid w:val="00466004"/>
    <w:rsid w:val="004707A9"/>
    <w:rsid w:val="0047081C"/>
    <w:rsid w:val="00473B49"/>
    <w:rsid w:val="004758B9"/>
    <w:rsid w:val="00476853"/>
    <w:rsid w:val="0047719C"/>
    <w:rsid w:val="004778A7"/>
    <w:rsid w:val="0048117A"/>
    <w:rsid w:val="004833A3"/>
    <w:rsid w:val="00484F9E"/>
    <w:rsid w:val="00487DEA"/>
    <w:rsid w:val="00493193"/>
    <w:rsid w:val="004933D9"/>
    <w:rsid w:val="00495FF8"/>
    <w:rsid w:val="004A071B"/>
    <w:rsid w:val="004A0769"/>
    <w:rsid w:val="004A1085"/>
    <w:rsid w:val="004A195F"/>
    <w:rsid w:val="004A458C"/>
    <w:rsid w:val="004A6230"/>
    <w:rsid w:val="004A6D8A"/>
    <w:rsid w:val="004A6FA0"/>
    <w:rsid w:val="004B0037"/>
    <w:rsid w:val="004B06DE"/>
    <w:rsid w:val="004B3207"/>
    <w:rsid w:val="004B3D3B"/>
    <w:rsid w:val="004B4ECF"/>
    <w:rsid w:val="004B6BC3"/>
    <w:rsid w:val="004B74DC"/>
    <w:rsid w:val="004C2A2C"/>
    <w:rsid w:val="004C33A2"/>
    <w:rsid w:val="004C3DDC"/>
    <w:rsid w:val="004C3F08"/>
    <w:rsid w:val="004C7DF5"/>
    <w:rsid w:val="004D0B1E"/>
    <w:rsid w:val="004D0BA9"/>
    <w:rsid w:val="004D424E"/>
    <w:rsid w:val="004D5385"/>
    <w:rsid w:val="004E15E8"/>
    <w:rsid w:val="004E31E1"/>
    <w:rsid w:val="004E5896"/>
    <w:rsid w:val="004E61C8"/>
    <w:rsid w:val="004F15C5"/>
    <w:rsid w:val="004F1F85"/>
    <w:rsid w:val="004F4B07"/>
    <w:rsid w:val="004F5D55"/>
    <w:rsid w:val="00502FD3"/>
    <w:rsid w:val="00503301"/>
    <w:rsid w:val="005034B0"/>
    <w:rsid w:val="00503D21"/>
    <w:rsid w:val="00503F38"/>
    <w:rsid w:val="005063D2"/>
    <w:rsid w:val="005107A6"/>
    <w:rsid w:val="00511665"/>
    <w:rsid w:val="005131C5"/>
    <w:rsid w:val="005136F7"/>
    <w:rsid w:val="00514467"/>
    <w:rsid w:val="00516110"/>
    <w:rsid w:val="00516681"/>
    <w:rsid w:val="005212A9"/>
    <w:rsid w:val="005217F9"/>
    <w:rsid w:val="0052496B"/>
    <w:rsid w:val="00530787"/>
    <w:rsid w:val="005319EC"/>
    <w:rsid w:val="00531DC9"/>
    <w:rsid w:val="0053348A"/>
    <w:rsid w:val="00533DA1"/>
    <w:rsid w:val="005342E9"/>
    <w:rsid w:val="0053430C"/>
    <w:rsid w:val="005404CE"/>
    <w:rsid w:val="00540996"/>
    <w:rsid w:val="0054138F"/>
    <w:rsid w:val="00541DE7"/>
    <w:rsid w:val="005427E4"/>
    <w:rsid w:val="00542ED3"/>
    <w:rsid w:val="00545815"/>
    <w:rsid w:val="0055115D"/>
    <w:rsid w:val="0055156D"/>
    <w:rsid w:val="0055598D"/>
    <w:rsid w:val="00563943"/>
    <w:rsid w:val="00563D49"/>
    <w:rsid w:val="005668DA"/>
    <w:rsid w:val="0057060E"/>
    <w:rsid w:val="005718B9"/>
    <w:rsid w:val="00572090"/>
    <w:rsid w:val="00575710"/>
    <w:rsid w:val="005762E1"/>
    <w:rsid w:val="00580185"/>
    <w:rsid w:val="0058138A"/>
    <w:rsid w:val="00583950"/>
    <w:rsid w:val="00583CDE"/>
    <w:rsid w:val="00584DF2"/>
    <w:rsid w:val="00585FFD"/>
    <w:rsid w:val="0058643F"/>
    <w:rsid w:val="0058779D"/>
    <w:rsid w:val="00587D8C"/>
    <w:rsid w:val="00587EE5"/>
    <w:rsid w:val="00590685"/>
    <w:rsid w:val="00595FBD"/>
    <w:rsid w:val="005960A4"/>
    <w:rsid w:val="00597032"/>
    <w:rsid w:val="005A01E8"/>
    <w:rsid w:val="005A166F"/>
    <w:rsid w:val="005A77F5"/>
    <w:rsid w:val="005B0465"/>
    <w:rsid w:val="005B1407"/>
    <w:rsid w:val="005B28C9"/>
    <w:rsid w:val="005B5DD3"/>
    <w:rsid w:val="005B601A"/>
    <w:rsid w:val="005C2FD1"/>
    <w:rsid w:val="005C38C1"/>
    <w:rsid w:val="005C5D1A"/>
    <w:rsid w:val="005C6653"/>
    <w:rsid w:val="005D100A"/>
    <w:rsid w:val="005D1037"/>
    <w:rsid w:val="005D670A"/>
    <w:rsid w:val="005D69A6"/>
    <w:rsid w:val="005E0CD9"/>
    <w:rsid w:val="005E139B"/>
    <w:rsid w:val="005E1810"/>
    <w:rsid w:val="005E72F1"/>
    <w:rsid w:val="005E7E62"/>
    <w:rsid w:val="005F1725"/>
    <w:rsid w:val="005F1D33"/>
    <w:rsid w:val="005F2D63"/>
    <w:rsid w:val="005F2F6F"/>
    <w:rsid w:val="005F3AC8"/>
    <w:rsid w:val="005F3C4C"/>
    <w:rsid w:val="006067D9"/>
    <w:rsid w:val="006075FA"/>
    <w:rsid w:val="006118FF"/>
    <w:rsid w:val="00611D74"/>
    <w:rsid w:val="00614FDD"/>
    <w:rsid w:val="00615520"/>
    <w:rsid w:val="006165B8"/>
    <w:rsid w:val="0061737D"/>
    <w:rsid w:val="00620043"/>
    <w:rsid w:val="006212A9"/>
    <w:rsid w:val="006271F1"/>
    <w:rsid w:val="006272F5"/>
    <w:rsid w:val="00627A2C"/>
    <w:rsid w:val="00631A46"/>
    <w:rsid w:val="006324EB"/>
    <w:rsid w:val="00633081"/>
    <w:rsid w:val="00633591"/>
    <w:rsid w:val="00635450"/>
    <w:rsid w:val="00635F87"/>
    <w:rsid w:val="006366B3"/>
    <w:rsid w:val="00637F87"/>
    <w:rsid w:val="0064073A"/>
    <w:rsid w:val="00640E04"/>
    <w:rsid w:val="0064273F"/>
    <w:rsid w:val="00642C8F"/>
    <w:rsid w:val="00647483"/>
    <w:rsid w:val="006556CA"/>
    <w:rsid w:val="0066255A"/>
    <w:rsid w:val="00662D28"/>
    <w:rsid w:val="00664769"/>
    <w:rsid w:val="0066650E"/>
    <w:rsid w:val="00667EDC"/>
    <w:rsid w:val="00670FB3"/>
    <w:rsid w:val="006727C5"/>
    <w:rsid w:val="00672977"/>
    <w:rsid w:val="006735E2"/>
    <w:rsid w:val="006741DB"/>
    <w:rsid w:val="00682B6F"/>
    <w:rsid w:val="006833A1"/>
    <w:rsid w:val="00684F59"/>
    <w:rsid w:val="006874AA"/>
    <w:rsid w:val="00691D59"/>
    <w:rsid w:val="0069295C"/>
    <w:rsid w:val="00696FD3"/>
    <w:rsid w:val="006A3137"/>
    <w:rsid w:val="006A369D"/>
    <w:rsid w:val="006A64BE"/>
    <w:rsid w:val="006A7EE1"/>
    <w:rsid w:val="006B1B07"/>
    <w:rsid w:val="006B1C16"/>
    <w:rsid w:val="006B2819"/>
    <w:rsid w:val="006B2B95"/>
    <w:rsid w:val="006B7AD0"/>
    <w:rsid w:val="006B7BED"/>
    <w:rsid w:val="006C2273"/>
    <w:rsid w:val="006C37C9"/>
    <w:rsid w:val="006C4F5A"/>
    <w:rsid w:val="006C59D7"/>
    <w:rsid w:val="006D22D4"/>
    <w:rsid w:val="006D47D3"/>
    <w:rsid w:val="006D692B"/>
    <w:rsid w:val="006E00BB"/>
    <w:rsid w:val="006E1584"/>
    <w:rsid w:val="006E43DA"/>
    <w:rsid w:val="006E5513"/>
    <w:rsid w:val="006E56F2"/>
    <w:rsid w:val="006F0542"/>
    <w:rsid w:val="006F0D91"/>
    <w:rsid w:val="006F24AE"/>
    <w:rsid w:val="006F65F1"/>
    <w:rsid w:val="006F6A83"/>
    <w:rsid w:val="006F6B9C"/>
    <w:rsid w:val="006F7938"/>
    <w:rsid w:val="006F7C3F"/>
    <w:rsid w:val="00700B76"/>
    <w:rsid w:val="007012D8"/>
    <w:rsid w:val="00701843"/>
    <w:rsid w:val="00704375"/>
    <w:rsid w:val="00704579"/>
    <w:rsid w:val="00707042"/>
    <w:rsid w:val="0071192B"/>
    <w:rsid w:val="00714278"/>
    <w:rsid w:val="00714600"/>
    <w:rsid w:val="00714F4D"/>
    <w:rsid w:val="007154A4"/>
    <w:rsid w:val="007158C2"/>
    <w:rsid w:val="00715C2F"/>
    <w:rsid w:val="007160FA"/>
    <w:rsid w:val="0071740C"/>
    <w:rsid w:val="007214E4"/>
    <w:rsid w:val="0072239B"/>
    <w:rsid w:val="00722B65"/>
    <w:rsid w:val="007232F8"/>
    <w:rsid w:val="007306C2"/>
    <w:rsid w:val="00731D23"/>
    <w:rsid w:val="00732A1E"/>
    <w:rsid w:val="00735BA5"/>
    <w:rsid w:val="00737C60"/>
    <w:rsid w:val="00740D03"/>
    <w:rsid w:val="0074455B"/>
    <w:rsid w:val="00744B87"/>
    <w:rsid w:val="00745819"/>
    <w:rsid w:val="00746D05"/>
    <w:rsid w:val="00751BC0"/>
    <w:rsid w:val="007527F0"/>
    <w:rsid w:val="0075467D"/>
    <w:rsid w:val="00754694"/>
    <w:rsid w:val="0076412E"/>
    <w:rsid w:val="007652ED"/>
    <w:rsid w:val="00772E77"/>
    <w:rsid w:val="00774463"/>
    <w:rsid w:val="00774837"/>
    <w:rsid w:val="00776CF9"/>
    <w:rsid w:val="00783346"/>
    <w:rsid w:val="007864B0"/>
    <w:rsid w:val="007874A7"/>
    <w:rsid w:val="007879BC"/>
    <w:rsid w:val="0079073B"/>
    <w:rsid w:val="007910C2"/>
    <w:rsid w:val="00792101"/>
    <w:rsid w:val="00792665"/>
    <w:rsid w:val="00792E72"/>
    <w:rsid w:val="007944ED"/>
    <w:rsid w:val="007945A7"/>
    <w:rsid w:val="00794B76"/>
    <w:rsid w:val="00794F37"/>
    <w:rsid w:val="007960F4"/>
    <w:rsid w:val="0079678F"/>
    <w:rsid w:val="00797818"/>
    <w:rsid w:val="007A17DD"/>
    <w:rsid w:val="007A22FD"/>
    <w:rsid w:val="007A67DE"/>
    <w:rsid w:val="007A70D8"/>
    <w:rsid w:val="007A719D"/>
    <w:rsid w:val="007A77DF"/>
    <w:rsid w:val="007B223C"/>
    <w:rsid w:val="007B2D64"/>
    <w:rsid w:val="007B34BA"/>
    <w:rsid w:val="007B5F00"/>
    <w:rsid w:val="007C4260"/>
    <w:rsid w:val="007C4551"/>
    <w:rsid w:val="007C7540"/>
    <w:rsid w:val="007C77D1"/>
    <w:rsid w:val="007D206A"/>
    <w:rsid w:val="007D221E"/>
    <w:rsid w:val="007D4B1E"/>
    <w:rsid w:val="007D52FF"/>
    <w:rsid w:val="007D5536"/>
    <w:rsid w:val="007D6683"/>
    <w:rsid w:val="007D6F8C"/>
    <w:rsid w:val="007E1FF3"/>
    <w:rsid w:val="007E29EE"/>
    <w:rsid w:val="007E3C6B"/>
    <w:rsid w:val="007E5435"/>
    <w:rsid w:val="007E5760"/>
    <w:rsid w:val="007E587A"/>
    <w:rsid w:val="007E75C3"/>
    <w:rsid w:val="007F101F"/>
    <w:rsid w:val="007F10EF"/>
    <w:rsid w:val="007F22E6"/>
    <w:rsid w:val="007F269D"/>
    <w:rsid w:val="007F41FC"/>
    <w:rsid w:val="007F6C1A"/>
    <w:rsid w:val="007F7E05"/>
    <w:rsid w:val="007F7E66"/>
    <w:rsid w:val="00801A52"/>
    <w:rsid w:val="008035A7"/>
    <w:rsid w:val="00803B97"/>
    <w:rsid w:val="0080550F"/>
    <w:rsid w:val="00805A21"/>
    <w:rsid w:val="00816127"/>
    <w:rsid w:val="00817935"/>
    <w:rsid w:val="00820915"/>
    <w:rsid w:val="008236EF"/>
    <w:rsid w:val="0082725E"/>
    <w:rsid w:val="00830439"/>
    <w:rsid w:val="00831D53"/>
    <w:rsid w:val="00833455"/>
    <w:rsid w:val="0083414A"/>
    <w:rsid w:val="0084016D"/>
    <w:rsid w:val="00841F59"/>
    <w:rsid w:val="00847909"/>
    <w:rsid w:val="0084793B"/>
    <w:rsid w:val="00851E5E"/>
    <w:rsid w:val="0085415F"/>
    <w:rsid w:val="00857113"/>
    <w:rsid w:val="00857CB3"/>
    <w:rsid w:val="00862803"/>
    <w:rsid w:val="00863152"/>
    <w:rsid w:val="008636FA"/>
    <w:rsid w:val="008653F4"/>
    <w:rsid w:val="00866D36"/>
    <w:rsid w:val="00867682"/>
    <w:rsid w:val="00877189"/>
    <w:rsid w:val="008805DD"/>
    <w:rsid w:val="00881F69"/>
    <w:rsid w:val="00882322"/>
    <w:rsid w:val="00885BDC"/>
    <w:rsid w:val="00886005"/>
    <w:rsid w:val="008863AB"/>
    <w:rsid w:val="00886BEC"/>
    <w:rsid w:val="00887385"/>
    <w:rsid w:val="00893ABA"/>
    <w:rsid w:val="00894932"/>
    <w:rsid w:val="00895784"/>
    <w:rsid w:val="008A1030"/>
    <w:rsid w:val="008A1DFA"/>
    <w:rsid w:val="008A31F2"/>
    <w:rsid w:val="008A3A25"/>
    <w:rsid w:val="008A59D7"/>
    <w:rsid w:val="008A63DE"/>
    <w:rsid w:val="008A78E7"/>
    <w:rsid w:val="008B0C1A"/>
    <w:rsid w:val="008B1BB6"/>
    <w:rsid w:val="008B2435"/>
    <w:rsid w:val="008B3006"/>
    <w:rsid w:val="008C1861"/>
    <w:rsid w:val="008C3688"/>
    <w:rsid w:val="008C5F98"/>
    <w:rsid w:val="008C67E6"/>
    <w:rsid w:val="008D1F61"/>
    <w:rsid w:val="008D224B"/>
    <w:rsid w:val="008D39C8"/>
    <w:rsid w:val="008D3C56"/>
    <w:rsid w:val="008D65E0"/>
    <w:rsid w:val="008E0C1D"/>
    <w:rsid w:val="008E1BDE"/>
    <w:rsid w:val="008E4147"/>
    <w:rsid w:val="008E4B63"/>
    <w:rsid w:val="008E7088"/>
    <w:rsid w:val="008E73D2"/>
    <w:rsid w:val="008E7AC6"/>
    <w:rsid w:val="008F0E56"/>
    <w:rsid w:val="008F372B"/>
    <w:rsid w:val="008F4AE9"/>
    <w:rsid w:val="008F5011"/>
    <w:rsid w:val="008F54B0"/>
    <w:rsid w:val="008F6AED"/>
    <w:rsid w:val="008F7172"/>
    <w:rsid w:val="008F775B"/>
    <w:rsid w:val="008F7A59"/>
    <w:rsid w:val="008F7C92"/>
    <w:rsid w:val="008F7DE9"/>
    <w:rsid w:val="0090155A"/>
    <w:rsid w:val="00902066"/>
    <w:rsid w:val="00904DF6"/>
    <w:rsid w:val="009111E7"/>
    <w:rsid w:val="00911A59"/>
    <w:rsid w:val="009155D4"/>
    <w:rsid w:val="00916BEF"/>
    <w:rsid w:val="00916C62"/>
    <w:rsid w:val="00916D16"/>
    <w:rsid w:val="009200F7"/>
    <w:rsid w:val="009203D9"/>
    <w:rsid w:val="00920949"/>
    <w:rsid w:val="009212B7"/>
    <w:rsid w:val="00921861"/>
    <w:rsid w:val="00921E1C"/>
    <w:rsid w:val="00922963"/>
    <w:rsid w:val="00922B6B"/>
    <w:rsid w:val="0093011E"/>
    <w:rsid w:val="00932198"/>
    <w:rsid w:val="009350BE"/>
    <w:rsid w:val="00935EB9"/>
    <w:rsid w:val="00937270"/>
    <w:rsid w:val="00941E5D"/>
    <w:rsid w:val="009442BB"/>
    <w:rsid w:val="009454B6"/>
    <w:rsid w:val="00946DFC"/>
    <w:rsid w:val="0094798E"/>
    <w:rsid w:val="0095208D"/>
    <w:rsid w:val="00952B10"/>
    <w:rsid w:val="009546AF"/>
    <w:rsid w:val="00954D07"/>
    <w:rsid w:val="009557D1"/>
    <w:rsid w:val="00956C82"/>
    <w:rsid w:val="0095753C"/>
    <w:rsid w:val="00957842"/>
    <w:rsid w:val="00962E28"/>
    <w:rsid w:val="0096383C"/>
    <w:rsid w:val="00964DFA"/>
    <w:rsid w:val="00965AE6"/>
    <w:rsid w:val="00967550"/>
    <w:rsid w:val="00971145"/>
    <w:rsid w:val="009746D2"/>
    <w:rsid w:val="00974947"/>
    <w:rsid w:val="0097515C"/>
    <w:rsid w:val="00975FD6"/>
    <w:rsid w:val="00976427"/>
    <w:rsid w:val="00976AF1"/>
    <w:rsid w:val="00977A20"/>
    <w:rsid w:val="009815F4"/>
    <w:rsid w:val="009838FA"/>
    <w:rsid w:val="0098628B"/>
    <w:rsid w:val="00986A11"/>
    <w:rsid w:val="009876D9"/>
    <w:rsid w:val="009913FC"/>
    <w:rsid w:val="009923FD"/>
    <w:rsid w:val="00992FCA"/>
    <w:rsid w:val="009938A0"/>
    <w:rsid w:val="009940C9"/>
    <w:rsid w:val="00995ADC"/>
    <w:rsid w:val="00996E04"/>
    <w:rsid w:val="009A108B"/>
    <w:rsid w:val="009A14B9"/>
    <w:rsid w:val="009A3433"/>
    <w:rsid w:val="009A37A9"/>
    <w:rsid w:val="009A3A35"/>
    <w:rsid w:val="009A609A"/>
    <w:rsid w:val="009A720D"/>
    <w:rsid w:val="009B222A"/>
    <w:rsid w:val="009B2C40"/>
    <w:rsid w:val="009B4A89"/>
    <w:rsid w:val="009B67E5"/>
    <w:rsid w:val="009B74F7"/>
    <w:rsid w:val="009B7A9C"/>
    <w:rsid w:val="009C0735"/>
    <w:rsid w:val="009C75A2"/>
    <w:rsid w:val="009C7E1F"/>
    <w:rsid w:val="009D151D"/>
    <w:rsid w:val="009D16AD"/>
    <w:rsid w:val="009D341F"/>
    <w:rsid w:val="009D4F3A"/>
    <w:rsid w:val="009D7AE8"/>
    <w:rsid w:val="009E1318"/>
    <w:rsid w:val="009E159A"/>
    <w:rsid w:val="009E2421"/>
    <w:rsid w:val="009E48BB"/>
    <w:rsid w:val="009F35E1"/>
    <w:rsid w:val="009F7C9B"/>
    <w:rsid w:val="00A154CE"/>
    <w:rsid w:val="00A15AF6"/>
    <w:rsid w:val="00A253BC"/>
    <w:rsid w:val="00A25733"/>
    <w:rsid w:val="00A25A23"/>
    <w:rsid w:val="00A25E1C"/>
    <w:rsid w:val="00A26512"/>
    <w:rsid w:val="00A26CA9"/>
    <w:rsid w:val="00A31898"/>
    <w:rsid w:val="00A32583"/>
    <w:rsid w:val="00A32E94"/>
    <w:rsid w:val="00A3731F"/>
    <w:rsid w:val="00A429D4"/>
    <w:rsid w:val="00A44835"/>
    <w:rsid w:val="00A45D3B"/>
    <w:rsid w:val="00A473D8"/>
    <w:rsid w:val="00A47936"/>
    <w:rsid w:val="00A50172"/>
    <w:rsid w:val="00A50DA0"/>
    <w:rsid w:val="00A53981"/>
    <w:rsid w:val="00A601B1"/>
    <w:rsid w:val="00A62525"/>
    <w:rsid w:val="00A637B7"/>
    <w:rsid w:val="00A63EB3"/>
    <w:rsid w:val="00A654C8"/>
    <w:rsid w:val="00A66A91"/>
    <w:rsid w:val="00A67E61"/>
    <w:rsid w:val="00A72688"/>
    <w:rsid w:val="00A7327F"/>
    <w:rsid w:val="00A74A0C"/>
    <w:rsid w:val="00A77A1D"/>
    <w:rsid w:val="00A80C9D"/>
    <w:rsid w:val="00A822E6"/>
    <w:rsid w:val="00A85430"/>
    <w:rsid w:val="00A86A9B"/>
    <w:rsid w:val="00A939AC"/>
    <w:rsid w:val="00A93AEF"/>
    <w:rsid w:val="00A946B5"/>
    <w:rsid w:val="00A9520C"/>
    <w:rsid w:val="00AA0B11"/>
    <w:rsid w:val="00AA55CE"/>
    <w:rsid w:val="00AA64D6"/>
    <w:rsid w:val="00AA6826"/>
    <w:rsid w:val="00AA6D2B"/>
    <w:rsid w:val="00AB0B71"/>
    <w:rsid w:val="00AB0D0F"/>
    <w:rsid w:val="00AB0F02"/>
    <w:rsid w:val="00AB279B"/>
    <w:rsid w:val="00AB4EC7"/>
    <w:rsid w:val="00AB5DBE"/>
    <w:rsid w:val="00AC04A3"/>
    <w:rsid w:val="00AC33C4"/>
    <w:rsid w:val="00AC4454"/>
    <w:rsid w:val="00AC6803"/>
    <w:rsid w:val="00AD0401"/>
    <w:rsid w:val="00AD2028"/>
    <w:rsid w:val="00AD23B7"/>
    <w:rsid w:val="00AD2CF2"/>
    <w:rsid w:val="00AD3081"/>
    <w:rsid w:val="00AD593E"/>
    <w:rsid w:val="00AE20E0"/>
    <w:rsid w:val="00AE6978"/>
    <w:rsid w:val="00AE7934"/>
    <w:rsid w:val="00AF0625"/>
    <w:rsid w:val="00AF0E81"/>
    <w:rsid w:val="00AF1BF6"/>
    <w:rsid w:val="00AF2107"/>
    <w:rsid w:val="00AF2529"/>
    <w:rsid w:val="00AF399C"/>
    <w:rsid w:val="00AF3BED"/>
    <w:rsid w:val="00AF5D0F"/>
    <w:rsid w:val="00AF6CF6"/>
    <w:rsid w:val="00AF7DED"/>
    <w:rsid w:val="00B00950"/>
    <w:rsid w:val="00B01F0A"/>
    <w:rsid w:val="00B054B3"/>
    <w:rsid w:val="00B057E7"/>
    <w:rsid w:val="00B05812"/>
    <w:rsid w:val="00B06355"/>
    <w:rsid w:val="00B100AE"/>
    <w:rsid w:val="00B12B93"/>
    <w:rsid w:val="00B1407C"/>
    <w:rsid w:val="00B17344"/>
    <w:rsid w:val="00B210EF"/>
    <w:rsid w:val="00B22979"/>
    <w:rsid w:val="00B22C09"/>
    <w:rsid w:val="00B236B5"/>
    <w:rsid w:val="00B23CDA"/>
    <w:rsid w:val="00B23DA5"/>
    <w:rsid w:val="00B25ED0"/>
    <w:rsid w:val="00B2637B"/>
    <w:rsid w:val="00B27829"/>
    <w:rsid w:val="00B315EB"/>
    <w:rsid w:val="00B32FD8"/>
    <w:rsid w:val="00B34525"/>
    <w:rsid w:val="00B44807"/>
    <w:rsid w:val="00B4688D"/>
    <w:rsid w:val="00B51743"/>
    <w:rsid w:val="00B51870"/>
    <w:rsid w:val="00B52474"/>
    <w:rsid w:val="00B52926"/>
    <w:rsid w:val="00B54181"/>
    <w:rsid w:val="00B570B6"/>
    <w:rsid w:val="00B57569"/>
    <w:rsid w:val="00B57674"/>
    <w:rsid w:val="00B60A01"/>
    <w:rsid w:val="00B61096"/>
    <w:rsid w:val="00B64EDA"/>
    <w:rsid w:val="00B65EB4"/>
    <w:rsid w:val="00B668B1"/>
    <w:rsid w:val="00B7257C"/>
    <w:rsid w:val="00B734C3"/>
    <w:rsid w:val="00B73F99"/>
    <w:rsid w:val="00B74187"/>
    <w:rsid w:val="00B75CC9"/>
    <w:rsid w:val="00B7665A"/>
    <w:rsid w:val="00B76D21"/>
    <w:rsid w:val="00B80C7E"/>
    <w:rsid w:val="00B8186D"/>
    <w:rsid w:val="00B84EBD"/>
    <w:rsid w:val="00B84FB3"/>
    <w:rsid w:val="00B85392"/>
    <w:rsid w:val="00B912F2"/>
    <w:rsid w:val="00B94EEF"/>
    <w:rsid w:val="00BA53CE"/>
    <w:rsid w:val="00BA5487"/>
    <w:rsid w:val="00BB04A6"/>
    <w:rsid w:val="00BB12BC"/>
    <w:rsid w:val="00BB25C4"/>
    <w:rsid w:val="00BB37E1"/>
    <w:rsid w:val="00BB412F"/>
    <w:rsid w:val="00BB676D"/>
    <w:rsid w:val="00BC03D1"/>
    <w:rsid w:val="00BC439D"/>
    <w:rsid w:val="00BC505C"/>
    <w:rsid w:val="00BC506C"/>
    <w:rsid w:val="00BC740C"/>
    <w:rsid w:val="00BD0927"/>
    <w:rsid w:val="00BD0E09"/>
    <w:rsid w:val="00BD1A90"/>
    <w:rsid w:val="00BD2B04"/>
    <w:rsid w:val="00BD314B"/>
    <w:rsid w:val="00BD36BD"/>
    <w:rsid w:val="00BD5FB6"/>
    <w:rsid w:val="00BD7792"/>
    <w:rsid w:val="00BE0183"/>
    <w:rsid w:val="00BE15A1"/>
    <w:rsid w:val="00BE5358"/>
    <w:rsid w:val="00BE730A"/>
    <w:rsid w:val="00BF0BC3"/>
    <w:rsid w:val="00BF3C01"/>
    <w:rsid w:val="00BF52E7"/>
    <w:rsid w:val="00BF620E"/>
    <w:rsid w:val="00BF75A2"/>
    <w:rsid w:val="00C0154D"/>
    <w:rsid w:val="00C015A8"/>
    <w:rsid w:val="00C02106"/>
    <w:rsid w:val="00C025A7"/>
    <w:rsid w:val="00C035E1"/>
    <w:rsid w:val="00C0360B"/>
    <w:rsid w:val="00C038EE"/>
    <w:rsid w:val="00C0696F"/>
    <w:rsid w:val="00C06CDC"/>
    <w:rsid w:val="00C117B8"/>
    <w:rsid w:val="00C14422"/>
    <w:rsid w:val="00C15459"/>
    <w:rsid w:val="00C15C78"/>
    <w:rsid w:val="00C15F20"/>
    <w:rsid w:val="00C16519"/>
    <w:rsid w:val="00C174A7"/>
    <w:rsid w:val="00C17D82"/>
    <w:rsid w:val="00C21F45"/>
    <w:rsid w:val="00C22A89"/>
    <w:rsid w:val="00C23E26"/>
    <w:rsid w:val="00C2609B"/>
    <w:rsid w:val="00C26635"/>
    <w:rsid w:val="00C26A3B"/>
    <w:rsid w:val="00C26F1D"/>
    <w:rsid w:val="00C27C2E"/>
    <w:rsid w:val="00C300A7"/>
    <w:rsid w:val="00C322FA"/>
    <w:rsid w:val="00C328B5"/>
    <w:rsid w:val="00C32A97"/>
    <w:rsid w:val="00C3441E"/>
    <w:rsid w:val="00C35EDE"/>
    <w:rsid w:val="00C4057D"/>
    <w:rsid w:val="00C40E9A"/>
    <w:rsid w:val="00C4270F"/>
    <w:rsid w:val="00C43764"/>
    <w:rsid w:val="00C46435"/>
    <w:rsid w:val="00C50193"/>
    <w:rsid w:val="00C50555"/>
    <w:rsid w:val="00C508BD"/>
    <w:rsid w:val="00C5203B"/>
    <w:rsid w:val="00C524CF"/>
    <w:rsid w:val="00C5256F"/>
    <w:rsid w:val="00C54469"/>
    <w:rsid w:val="00C5630A"/>
    <w:rsid w:val="00C61770"/>
    <w:rsid w:val="00C63A9D"/>
    <w:rsid w:val="00C652ED"/>
    <w:rsid w:val="00C66F68"/>
    <w:rsid w:val="00C6720D"/>
    <w:rsid w:val="00C710BB"/>
    <w:rsid w:val="00C736B4"/>
    <w:rsid w:val="00C7399A"/>
    <w:rsid w:val="00C73FBC"/>
    <w:rsid w:val="00C76B1C"/>
    <w:rsid w:val="00C77355"/>
    <w:rsid w:val="00C80A67"/>
    <w:rsid w:val="00C81C3F"/>
    <w:rsid w:val="00C81E90"/>
    <w:rsid w:val="00C86EDB"/>
    <w:rsid w:val="00C870BA"/>
    <w:rsid w:val="00C87672"/>
    <w:rsid w:val="00C87B4D"/>
    <w:rsid w:val="00C90B97"/>
    <w:rsid w:val="00C9255F"/>
    <w:rsid w:val="00C9387A"/>
    <w:rsid w:val="00C93917"/>
    <w:rsid w:val="00C93C29"/>
    <w:rsid w:val="00CA1923"/>
    <w:rsid w:val="00CA3CA8"/>
    <w:rsid w:val="00CA57BD"/>
    <w:rsid w:val="00CA6A5B"/>
    <w:rsid w:val="00CA712F"/>
    <w:rsid w:val="00CB097A"/>
    <w:rsid w:val="00CB1935"/>
    <w:rsid w:val="00CB341C"/>
    <w:rsid w:val="00CB3F82"/>
    <w:rsid w:val="00CB5015"/>
    <w:rsid w:val="00CC2325"/>
    <w:rsid w:val="00CC34D4"/>
    <w:rsid w:val="00CC4657"/>
    <w:rsid w:val="00CC5886"/>
    <w:rsid w:val="00CD2086"/>
    <w:rsid w:val="00CD379A"/>
    <w:rsid w:val="00CD452A"/>
    <w:rsid w:val="00CD5066"/>
    <w:rsid w:val="00CD744B"/>
    <w:rsid w:val="00CD75AE"/>
    <w:rsid w:val="00CE0792"/>
    <w:rsid w:val="00CE0CED"/>
    <w:rsid w:val="00CE2A26"/>
    <w:rsid w:val="00CE4478"/>
    <w:rsid w:val="00CE57E7"/>
    <w:rsid w:val="00CE6907"/>
    <w:rsid w:val="00CE78E8"/>
    <w:rsid w:val="00CF2AEA"/>
    <w:rsid w:val="00CF339E"/>
    <w:rsid w:val="00CF727C"/>
    <w:rsid w:val="00D003F5"/>
    <w:rsid w:val="00D00946"/>
    <w:rsid w:val="00D03D31"/>
    <w:rsid w:val="00D06899"/>
    <w:rsid w:val="00D1191C"/>
    <w:rsid w:val="00D13278"/>
    <w:rsid w:val="00D17F2F"/>
    <w:rsid w:val="00D246D1"/>
    <w:rsid w:val="00D3352B"/>
    <w:rsid w:val="00D401D1"/>
    <w:rsid w:val="00D41F26"/>
    <w:rsid w:val="00D430E2"/>
    <w:rsid w:val="00D43C88"/>
    <w:rsid w:val="00D44576"/>
    <w:rsid w:val="00D5055D"/>
    <w:rsid w:val="00D51A01"/>
    <w:rsid w:val="00D533BF"/>
    <w:rsid w:val="00D55387"/>
    <w:rsid w:val="00D5610E"/>
    <w:rsid w:val="00D565D2"/>
    <w:rsid w:val="00D56A78"/>
    <w:rsid w:val="00D60D27"/>
    <w:rsid w:val="00D6148D"/>
    <w:rsid w:val="00D6600A"/>
    <w:rsid w:val="00D71003"/>
    <w:rsid w:val="00D73206"/>
    <w:rsid w:val="00D75B0C"/>
    <w:rsid w:val="00D77D90"/>
    <w:rsid w:val="00D82E8F"/>
    <w:rsid w:val="00D8376D"/>
    <w:rsid w:val="00D83E42"/>
    <w:rsid w:val="00D8451B"/>
    <w:rsid w:val="00D84F40"/>
    <w:rsid w:val="00D85CF6"/>
    <w:rsid w:val="00D86968"/>
    <w:rsid w:val="00D907F9"/>
    <w:rsid w:val="00D91039"/>
    <w:rsid w:val="00D913D5"/>
    <w:rsid w:val="00D91618"/>
    <w:rsid w:val="00D92C7F"/>
    <w:rsid w:val="00D974EE"/>
    <w:rsid w:val="00D97542"/>
    <w:rsid w:val="00DA0D01"/>
    <w:rsid w:val="00DA15BE"/>
    <w:rsid w:val="00DA1DBE"/>
    <w:rsid w:val="00DA1E8E"/>
    <w:rsid w:val="00DA27F0"/>
    <w:rsid w:val="00DA68DF"/>
    <w:rsid w:val="00DA6E3D"/>
    <w:rsid w:val="00DA75E8"/>
    <w:rsid w:val="00DB271E"/>
    <w:rsid w:val="00DB4CAF"/>
    <w:rsid w:val="00DB6014"/>
    <w:rsid w:val="00DB77D6"/>
    <w:rsid w:val="00DC05D2"/>
    <w:rsid w:val="00DC14DB"/>
    <w:rsid w:val="00DC2714"/>
    <w:rsid w:val="00DC2F83"/>
    <w:rsid w:val="00DC3018"/>
    <w:rsid w:val="00DC4A45"/>
    <w:rsid w:val="00DD161C"/>
    <w:rsid w:val="00DD231C"/>
    <w:rsid w:val="00DD37BA"/>
    <w:rsid w:val="00DD5466"/>
    <w:rsid w:val="00DD66F4"/>
    <w:rsid w:val="00DE09BB"/>
    <w:rsid w:val="00DE12B5"/>
    <w:rsid w:val="00DE2D84"/>
    <w:rsid w:val="00DE2EBD"/>
    <w:rsid w:val="00DE38F5"/>
    <w:rsid w:val="00DE712F"/>
    <w:rsid w:val="00DE73AB"/>
    <w:rsid w:val="00DF18BD"/>
    <w:rsid w:val="00DF3304"/>
    <w:rsid w:val="00DF3EF5"/>
    <w:rsid w:val="00DF46C8"/>
    <w:rsid w:val="00DF5674"/>
    <w:rsid w:val="00DF7A07"/>
    <w:rsid w:val="00E027DB"/>
    <w:rsid w:val="00E062B7"/>
    <w:rsid w:val="00E06815"/>
    <w:rsid w:val="00E0765A"/>
    <w:rsid w:val="00E12918"/>
    <w:rsid w:val="00E12D1F"/>
    <w:rsid w:val="00E14B7C"/>
    <w:rsid w:val="00E15B4D"/>
    <w:rsid w:val="00E15D9F"/>
    <w:rsid w:val="00E16D7D"/>
    <w:rsid w:val="00E16FB3"/>
    <w:rsid w:val="00E20D66"/>
    <w:rsid w:val="00E2271F"/>
    <w:rsid w:val="00E22DDA"/>
    <w:rsid w:val="00E26363"/>
    <w:rsid w:val="00E2693F"/>
    <w:rsid w:val="00E26A29"/>
    <w:rsid w:val="00E273CC"/>
    <w:rsid w:val="00E33C2E"/>
    <w:rsid w:val="00E36096"/>
    <w:rsid w:val="00E36D9F"/>
    <w:rsid w:val="00E41C3F"/>
    <w:rsid w:val="00E44878"/>
    <w:rsid w:val="00E506E6"/>
    <w:rsid w:val="00E512AE"/>
    <w:rsid w:val="00E51C83"/>
    <w:rsid w:val="00E52AFA"/>
    <w:rsid w:val="00E55390"/>
    <w:rsid w:val="00E55561"/>
    <w:rsid w:val="00E55F3F"/>
    <w:rsid w:val="00E61074"/>
    <w:rsid w:val="00E6120F"/>
    <w:rsid w:val="00E61F19"/>
    <w:rsid w:val="00E63D23"/>
    <w:rsid w:val="00E648C6"/>
    <w:rsid w:val="00E7072B"/>
    <w:rsid w:val="00E729B4"/>
    <w:rsid w:val="00E72B5E"/>
    <w:rsid w:val="00E74C5B"/>
    <w:rsid w:val="00E75AC2"/>
    <w:rsid w:val="00E77D91"/>
    <w:rsid w:val="00E8143F"/>
    <w:rsid w:val="00E819B6"/>
    <w:rsid w:val="00E8666A"/>
    <w:rsid w:val="00E8735A"/>
    <w:rsid w:val="00E8744F"/>
    <w:rsid w:val="00E923DF"/>
    <w:rsid w:val="00E92725"/>
    <w:rsid w:val="00E930D9"/>
    <w:rsid w:val="00E948B1"/>
    <w:rsid w:val="00E96FC5"/>
    <w:rsid w:val="00EA21D2"/>
    <w:rsid w:val="00EA2C67"/>
    <w:rsid w:val="00EA2FFF"/>
    <w:rsid w:val="00EA4A94"/>
    <w:rsid w:val="00EA5765"/>
    <w:rsid w:val="00EA5FE1"/>
    <w:rsid w:val="00EB06C5"/>
    <w:rsid w:val="00EB3505"/>
    <w:rsid w:val="00EB3E47"/>
    <w:rsid w:val="00EC0BD0"/>
    <w:rsid w:val="00EC24A3"/>
    <w:rsid w:val="00EC3250"/>
    <w:rsid w:val="00EC5761"/>
    <w:rsid w:val="00ED02E0"/>
    <w:rsid w:val="00ED0E26"/>
    <w:rsid w:val="00ED1763"/>
    <w:rsid w:val="00ED1BA6"/>
    <w:rsid w:val="00ED2CD0"/>
    <w:rsid w:val="00ED54A9"/>
    <w:rsid w:val="00ED6988"/>
    <w:rsid w:val="00ED78C0"/>
    <w:rsid w:val="00EE2561"/>
    <w:rsid w:val="00EE3F8E"/>
    <w:rsid w:val="00EE4654"/>
    <w:rsid w:val="00EE56E4"/>
    <w:rsid w:val="00EE5BAC"/>
    <w:rsid w:val="00EE6829"/>
    <w:rsid w:val="00EF0414"/>
    <w:rsid w:val="00EF62DB"/>
    <w:rsid w:val="00F0030A"/>
    <w:rsid w:val="00F07AE1"/>
    <w:rsid w:val="00F116F8"/>
    <w:rsid w:val="00F120CD"/>
    <w:rsid w:val="00F12579"/>
    <w:rsid w:val="00F160EE"/>
    <w:rsid w:val="00F1696A"/>
    <w:rsid w:val="00F17262"/>
    <w:rsid w:val="00F17577"/>
    <w:rsid w:val="00F210C8"/>
    <w:rsid w:val="00F21E5C"/>
    <w:rsid w:val="00F22C62"/>
    <w:rsid w:val="00F2396E"/>
    <w:rsid w:val="00F241B1"/>
    <w:rsid w:val="00F275AE"/>
    <w:rsid w:val="00F30B68"/>
    <w:rsid w:val="00F32360"/>
    <w:rsid w:val="00F34149"/>
    <w:rsid w:val="00F341F6"/>
    <w:rsid w:val="00F43CCC"/>
    <w:rsid w:val="00F43F27"/>
    <w:rsid w:val="00F44B57"/>
    <w:rsid w:val="00F5364A"/>
    <w:rsid w:val="00F537C4"/>
    <w:rsid w:val="00F53A22"/>
    <w:rsid w:val="00F57E5D"/>
    <w:rsid w:val="00F57F73"/>
    <w:rsid w:val="00F65018"/>
    <w:rsid w:val="00F67755"/>
    <w:rsid w:val="00F67E1E"/>
    <w:rsid w:val="00F7078A"/>
    <w:rsid w:val="00F7271F"/>
    <w:rsid w:val="00F76D0B"/>
    <w:rsid w:val="00F851BA"/>
    <w:rsid w:val="00F859E5"/>
    <w:rsid w:val="00F867DE"/>
    <w:rsid w:val="00F87612"/>
    <w:rsid w:val="00F87FD0"/>
    <w:rsid w:val="00F90952"/>
    <w:rsid w:val="00F9126A"/>
    <w:rsid w:val="00F92BCC"/>
    <w:rsid w:val="00F932C2"/>
    <w:rsid w:val="00F9416D"/>
    <w:rsid w:val="00F94A38"/>
    <w:rsid w:val="00F957BE"/>
    <w:rsid w:val="00F9753B"/>
    <w:rsid w:val="00FA0C52"/>
    <w:rsid w:val="00FA5855"/>
    <w:rsid w:val="00FA5BD4"/>
    <w:rsid w:val="00FA5ED1"/>
    <w:rsid w:val="00FA660B"/>
    <w:rsid w:val="00FB1104"/>
    <w:rsid w:val="00FB2C8C"/>
    <w:rsid w:val="00FB3ADF"/>
    <w:rsid w:val="00FB3F66"/>
    <w:rsid w:val="00FB7CDC"/>
    <w:rsid w:val="00FC2EC5"/>
    <w:rsid w:val="00FC58E4"/>
    <w:rsid w:val="00FC6120"/>
    <w:rsid w:val="00FC624F"/>
    <w:rsid w:val="00FC64E1"/>
    <w:rsid w:val="00FC7B8B"/>
    <w:rsid w:val="00FD44BD"/>
    <w:rsid w:val="00FD5FFB"/>
    <w:rsid w:val="00FD6CF5"/>
    <w:rsid w:val="00FD7B0B"/>
    <w:rsid w:val="00FE7C7B"/>
    <w:rsid w:val="00FF5316"/>
    <w:rsid w:val="00FF5447"/>
    <w:rsid w:val="00FF61B1"/>
    <w:rsid w:val="00FF6337"/>
    <w:rsid w:val="00FF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0B8"/>
  <w15:chartTrackingRefBased/>
  <w15:docId w15:val="{252635F0-89D7-4D99-A8AA-54EE2AE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390"/>
    <w:pPr>
      <w:ind w:left="720"/>
      <w:contextualSpacing/>
    </w:pPr>
  </w:style>
  <w:style w:type="paragraph" w:styleId="Header">
    <w:name w:val="header"/>
    <w:basedOn w:val="Normal"/>
    <w:link w:val="HeaderChar"/>
    <w:uiPriority w:val="99"/>
    <w:unhideWhenUsed/>
    <w:rsid w:val="00D50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5D"/>
  </w:style>
  <w:style w:type="paragraph" w:styleId="Footer">
    <w:name w:val="footer"/>
    <w:basedOn w:val="Normal"/>
    <w:link w:val="FooterChar"/>
    <w:uiPriority w:val="99"/>
    <w:unhideWhenUsed/>
    <w:rsid w:val="00D5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5D"/>
  </w:style>
  <w:style w:type="paragraph" w:styleId="BalloonText">
    <w:name w:val="Balloon Text"/>
    <w:basedOn w:val="Normal"/>
    <w:link w:val="BalloonTextChar"/>
    <w:uiPriority w:val="99"/>
    <w:semiHidden/>
    <w:unhideWhenUsed/>
    <w:rsid w:val="000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45"/>
    <w:rPr>
      <w:rFonts w:ascii="Segoe UI" w:hAnsi="Segoe UI" w:cs="Segoe UI"/>
      <w:sz w:val="18"/>
      <w:szCs w:val="18"/>
    </w:rPr>
  </w:style>
  <w:style w:type="table" w:customStyle="1" w:styleId="TableGrid1">
    <w:name w:val="Table Grid1"/>
    <w:basedOn w:val="TableNormal"/>
    <w:next w:val="TableGrid"/>
    <w:uiPriority w:val="39"/>
    <w:rsid w:val="0043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7E7"/>
    <w:pPr>
      <w:spacing w:before="100" w:beforeAutospacing="1" w:after="100" w:afterAutospacing="1" w:line="240" w:lineRule="auto"/>
    </w:pPr>
    <w:rPr>
      <w:rFonts w:ascii="Gulim" w:eastAsia="Gulim" w:hAnsi="Gulim" w:cs="Gulim"/>
      <w:sz w:val="24"/>
      <w:szCs w:val="24"/>
      <w:lang w:eastAsia="ko-KR"/>
    </w:rPr>
  </w:style>
  <w:style w:type="character" w:styleId="CommentReference">
    <w:name w:val="annotation reference"/>
    <w:basedOn w:val="DefaultParagraphFont"/>
    <w:uiPriority w:val="99"/>
    <w:semiHidden/>
    <w:unhideWhenUsed/>
    <w:rsid w:val="00DF3EF5"/>
    <w:rPr>
      <w:sz w:val="16"/>
      <w:szCs w:val="16"/>
    </w:rPr>
  </w:style>
  <w:style w:type="paragraph" w:styleId="CommentText">
    <w:name w:val="annotation text"/>
    <w:basedOn w:val="Normal"/>
    <w:link w:val="CommentTextChar"/>
    <w:uiPriority w:val="99"/>
    <w:unhideWhenUsed/>
    <w:rsid w:val="00DF3EF5"/>
    <w:pPr>
      <w:spacing w:line="240" w:lineRule="auto"/>
    </w:pPr>
    <w:rPr>
      <w:sz w:val="20"/>
      <w:szCs w:val="20"/>
    </w:rPr>
  </w:style>
  <w:style w:type="character" w:customStyle="1" w:styleId="CommentTextChar">
    <w:name w:val="Comment Text Char"/>
    <w:basedOn w:val="DefaultParagraphFont"/>
    <w:link w:val="CommentText"/>
    <w:uiPriority w:val="99"/>
    <w:rsid w:val="00DF3EF5"/>
    <w:rPr>
      <w:sz w:val="20"/>
      <w:szCs w:val="20"/>
    </w:rPr>
  </w:style>
  <w:style w:type="paragraph" w:styleId="CommentSubject">
    <w:name w:val="annotation subject"/>
    <w:basedOn w:val="CommentText"/>
    <w:next w:val="CommentText"/>
    <w:link w:val="CommentSubjectChar"/>
    <w:uiPriority w:val="99"/>
    <w:semiHidden/>
    <w:unhideWhenUsed/>
    <w:rsid w:val="00DF3EF5"/>
    <w:rPr>
      <w:b/>
      <w:bCs/>
    </w:rPr>
  </w:style>
  <w:style w:type="character" w:customStyle="1" w:styleId="CommentSubjectChar">
    <w:name w:val="Comment Subject Char"/>
    <w:basedOn w:val="CommentTextChar"/>
    <w:link w:val="CommentSubject"/>
    <w:uiPriority w:val="99"/>
    <w:semiHidden/>
    <w:rsid w:val="00DF3EF5"/>
    <w:rPr>
      <w:b/>
      <w:bCs/>
      <w:sz w:val="20"/>
      <w:szCs w:val="20"/>
    </w:rPr>
  </w:style>
  <w:style w:type="paragraph" w:styleId="Revision">
    <w:name w:val="Revision"/>
    <w:hidden/>
    <w:uiPriority w:val="99"/>
    <w:semiHidden/>
    <w:rsid w:val="00E6120F"/>
    <w:pPr>
      <w:spacing w:after="0" w:line="240" w:lineRule="auto"/>
    </w:pPr>
  </w:style>
  <w:style w:type="paragraph" w:customStyle="1" w:styleId="xmsonormal">
    <w:name w:val="x_msonormal"/>
    <w:basedOn w:val="Normal"/>
    <w:rsid w:val="00E076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95">
      <w:bodyDiv w:val="1"/>
      <w:marLeft w:val="0"/>
      <w:marRight w:val="0"/>
      <w:marTop w:val="0"/>
      <w:marBottom w:val="0"/>
      <w:divBdr>
        <w:top w:val="none" w:sz="0" w:space="0" w:color="auto"/>
        <w:left w:val="none" w:sz="0" w:space="0" w:color="auto"/>
        <w:bottom w:val="none" w:sz="0" w:space="0" w:color="auto"/>
        <w:right w:val="none" w:sz="0" w:space="0" w:color="auto"/>
      </w:divBdr>
    </w:div>
    <w:div w:id="18970905">
      <w:bodyDiv w:val="1"/>
      <w:marLeft w:val="0"/>
      <w:marRight w:val="0"/>
      <w:marTop w:val="0"/>
      <w:marBottom w:val="0"/>
      <w:divBdr>
        <w:top w:val="none" w:sz="0" w:space="0" w:color="auto"/>
        <w:left w:val="none" w:sz="0" w:space="0" w:color="auto"/>
        <w:bottom w:val="none" w:sz="0" w:space="0" w:color="auto"/>
        <w:right w:val="none" w:sz="0" w:space="0" w:color="auto"/>
      </w:divBdr>
    </w:div>
    <w:div w:id="19472373">
      <w:bodyDiv w:val="1"/>
      <w:marLeft w:val="0"/>
      <w:marRight w:val="0"/>
      <w:marTop w:val="0"/>
      <w:marBottom w:val="0"/>
      <w:divBdr>
        <w:top w:val="none" w:sz="0" w:space="0" w:color="auto"/>
        <w:left w:val="none" w:sz="0" w:space="0" w:color="auto"/>
        <w:bottom w:val="none" w:sz="0" w:space="0" w:color="auto"/>
        <w:right w:val="none" w:sz="0" w:space="0" w:color="auto"/>
      </w:divBdr>
    </w:div>
    <w:div w:id="44990306">
      <w:bodyDiv w:val="1"/>
      <w:marLeft w:val="0"/>
      <w:marRight w:val="0"/>
      <w:marTop w:val="0"/>
      <w:marBottom w:val="0"/>
      <w:divBdr>
        <w:top w:val="none" w:sz="0" w:space="0" w:color="auto"/>
        <w:left w:val="none" w:sz="0" w:space="0" w:color="auto"/>
        <w:bottom w:val="none" w:sz="0" w:space="0" w:color="auto"/>
        <w:right w:val="none" w:sz="0" w:space="0" w:color="auto"/>
      </w:divBdr>
    </w:div>
    <w:div w:id="89132887">
      <w:bodyDiv w:val="1"/>
      <w:marLeft w:val="0"/>
      <w:marRight w:val="0"/>
      <w:marTop w:val="0"/>
      <w:marBottom w:val="0"/>
      <w:divBdr>
        <w:top w:val="none" w:sz="0" w:space="0" w:color="auto"/>
        <w:left w:val="none" w:sz="0" w:space="0" w:color="auto"/>
        <w:bottom w:val="none" w:sz="0" w:space="0" w:color="auto"/>
        <w:right w:val="none" w:sz="0" w:space="0" w:color="auto"/>
      </w:divBdr>
    </w:div>
    <w:div w:id="94594013">
      <w:bodyDiv w:val="1"/>
      <w:marLeft w:val="0"/>
      <w:marRight w:val="0"/>
      <w:marTop w:val="0"/>
      <w:marBottom w:val="0"/>
      <w:divBdr>
        <w:top w:val="none" w:sz="0" w:space="0" w:color="auto"/>
        <w:left w:val="none" w:sz="0" w:space="0" w:color="auto"/>
        <w:bottom w:val="none" w:sz="0" w:space="0" w:color="auto"/>
        <w:right w:val="none" w:sz="0" w:space="0" w:color="auto"/>
      </w:divBdr>
    </w:div>
    <w:div w:id="112676886">
      <w:bodyDiv w:val="1"/>
      <w:marLeft w:val="0"/>
      <w:marRight w:val="0"/>
      <w:marTop w:val="0"/>
      <w:marBottom w:val="0"/>
      <w:divBdr>
        <w:top w:val="none" w:sz="0" w:space="0" w:color="auto"/>
        <w:left w:val="none" w:sz="0" w:space="0" w:color="auto"/>
        <w:bottom w:val="none" w:sz="0" w:space="0" w:color="auto"/>
        <w:right w:val="none" w:sz="0" w:space="0" w:color="auto"/>
      </w:divBdr>
    </w:div>
    <w:div w:id="129174199">
      <w:bodyDiv w:val="1"/>
      <w:marLeft w:val="0"/>
      <w:marRight w:val="0"/>
      <w:marTop w:val="0"/>
      <w:marBottom w:val="0"/>
      <w:divBdr>
        <w:top w:val="none" w:sz="0" w:space="0" w:color="auto"/>
        <w:left w:val="none" w:sz="0" w:space="0" w:color="auto"/>
        <w:bottom w:val="none" w:sz="0" w:space="0" w:color="auto"/>
        <w:right w:val="none" w:sz="0" w:space="0" w:color="auto"/>
      </w:divBdr>
    </w:div>
    <w:div w:id="254946736">
      <w:bodyDiv w:val="1"/>
      <w:marLeft w:val="0"/>
      <w:marRight w:val="0"/>
      <w:marTop w:val="0"/>
      <w:marBottom w:val="0"/>
      <w:divBdr>
        <w:top w:val="none" w:sz="0" w:space="0" w:color="auto"/>
        <w:left w:val="none" w:sz="0" w:space="0" w:color="auto"/>
        <w:bottom w:val="none" w:sz="0" w:space="0" w:color="auto"/>
        <w:right w:val="none" w:sz="0" w:space="0" w:color="auto"/>
      </w:divBdr>
    </w:div>
    <w:div w:id="331758451">
      <w:bodyDiv w:val="1"/>
      <w:marLeft w:val="0"/>
      <w:marRight w:val="0"/>
      <w:marTop w:val="0"/>
      <w:marBottom w:val="0"/>
      <w:divBdr>
        <w:top w:val="none" w:sz="0" w:space="0" w:color="auto"/>
        <w:left w:val="none" w:sz="0" w:space="0" w:color="auto"/>
        <w:bottom w:val="none" w:sz="0" w:space="0" w:color="auto"/>
        <w:right w:val="none" w:sz="0" w:space="0" w:color="auto"/>
      </w:divBdr>
    </w:div>
    <w:div w:id="335112527">
      <w:bodyDiv w:val="1"/>
      <w:marLeft w:val="0"/>
      <w:marRight w:val="0"/>
      <w:marTop w:val="0"/>
      <w:marBottom w:val="0"/>
      <w:divBdr>
        <w:top w:val="none" w:sz="0" w:space="0" w:color="auto"/>
        <w:left w:val="none" w:sz="0" w:space="0" w:color="auto"/>
        <w:bottom w:val="none" w:sz="0" w:space="0" w:color="auto"/>
        <w:right w:val="none" w:sz="0" w:space="0" w:color="auto"/>
      </w:divBdr>
    </w:div>
    <w:div w:id="354116052">
      <w:bodyDiv w:val="1"/>
      <w:marLeft w:val="0"/>
      <w:marRight w:val="0"/>
      <w:marTop w:val="0"/>
      <w:marBottom w:val="0"/>
      <w:divBdr>
        <w:top w:val="none" w:sz="0" w:space="0" w:color="auto"/>
        <w:left w:val="none" w:sz="0" w:space="0" w:color="auto"/>
        <w:bottom w:val="none" w:sz="0" w:space="0" w:color="auto"/>
        <w:right w:val="none" w:sz="0" w:space="0" w:color="auto"/>
      </w:divBdr>
    </w:div>
    <w:div w:id="382367535">
      <w:bodyDiv w:val="1"/>
      <w:marLeft w:val="0"/>
      <w:marRight w:val="0"/>
      <w:marTop w:val="0"/>
      <w:marBottom w:val="0"/>
      <w:divBdr>
        <w:top w:val="none" w:sz="0" w:space="0" w:color="auto"/>
        <w:left w:val="none" w:sz="0" w:space="0" w:color="auto"/>
        <w:bottom w:val="none" w:sz="0" w:space="0" w:color="auto"/>
        <w:right w:val="none" w:sz="0" w:space="0" w:color="auto"/>
      </w:divBdr>
    </w:div>
    <w:div w:id="424302508">
      <w:bodyDiv w:val="1"/>
      <w:marLeft w:val="0"/>
      <w:marRight w:val="0"/>
      <w:marTop w:val="0"/>
      <w:marBottom w:val="0"/>
      <w:divBdr>
        <w:top w:val="none" w:sz="0" w:space="0" w:color="auto"/>
        <w:left w:val="none" w:sz="0" w:space="0" w:color="auto"/>
        <w:bottom w:val="none" w:sz="0" w:space="0" w:color="auto"/>
        <w:right w:val="none" w:sz="0" w:space="0" w:color="auto"/>
      </w:divBdr>
    </w:div>
    <w:div w:id="466821144">
      <w:bodyDiv w:val="1"/>
      <w:marLeft w:val="0"/>
      <w:marRight w:val="0"/>
      <w:marTop w:val="0"/>
      <w:marBottom w:val="0"/>
      <w:divBdr>
        <w:top w:val="none" w:sz="0" w:space="0" w:color="auto"/>
        <w:left w:val="none" w:sz="0" w:space="0" w:color="auto"/>
        <w:bottom w:val="none" w:sz="0" w:space="0" w:color="auto"/>
        <w:right w:val="none" w:sz="0" w:space="0" w:color="auto"/>
      </w:divBdr>
    </w:div>
    <w:div w:id="496844008">
      <w:bodyDiv w:val="1"/>
      <w:marLeft w:val="0"/>
      <w:marRight w:val="0"/>
      <w:marTop w:val="0"/>
      <w:marBottom w:val="0"/>
      <w:divBdr>
        <w:top w:val="none" w:sz="0" w:space="0" w:color="auto"/>
        <w:left w:val="none" w:sz="0" w:space="0" w:color="auto"/>
        <w:bottom w:val="none" w:sz="0" w:space="0" w:color="auto"/>
        <w:right w:val="none" w:sz="0" w:space="0" w:color="auto"/>
      </w:divBdr>
    </w:div>
    <w:div w:id="547113627">
      <w:bodyDiv w:val="1"/>
      <w:marLeft w:val="0"/>
      <w:marRight w:val="0"/>
      <w:marTop w:val="0"/>
      <w:marBottom w:val="0"/>
      <w:divBdr>
        <w:top w:val="none" w:sz="0" w:space="0" w:color="auto"/>
        <w:left w:val="none" w:sz="0" w:space="0" w:color="auto"/>
        <w:bottom w:val="none" w:sz="0" w:space="0" w:color="auto"/>
        <w:right w:val="none" w:sz="0" w:space="0" w:color="auto"/>
      </w:divBdr>
    </w:div>
    <w:div w:id="555245318">
      <w:bodyDiv w:val="1"/>
      <w:marLeft w:val="0"/>
      <w:marRight w:val="0"/>
      <w:marTop w:val="0"/>
      <w:marBottom w:val="0"/>
      <w:divBdr>
        <w:top w:val="none" w:sz="0" w:space="0" w:color="auto"/>
        <w:left w:val="none" w:sz="0" w:space="0" w:color="auto"/>
        <w:bottom w:val="none" w:sz="0" w:space="0" w:color="auto"/>
        <w:right w:val="none" w:sz="0" w:space="0" w:color="auto"/>
      </w:divBdr>
    </w:div>
    <w:div w:id="639920984">
      <w:bodyDiv w:val="1"/>
      <w:marLeft w:val="0"/>
      <w:marRight w:val="0"/>
      <w:marTop w:val="0"/>
      <w:marBottom w:val="0"/>
      <w:divBdr>
        <w:top w:val="none" w:sz="0" w:space="0" w:color="auto"/>
        <w:left w:val="none" w:sz="0" w:space="0" w:color="auto"/>
        <w:bottom w:val="none" w:sz="0" w:space="0" w:color="auto"/>
        <w:right w:val="none" w:sz="0" w:space="0" w:color="auto"/>
      </w:divBdr>
    </w:div>
    <w:div w:id="670330031">
      <w:bodyDiv w:val="1"/>
      <w:marLeft w:val="0"/>
      <w:marRight w:val="0"/>
      <w:marTop w:val="0"/>
      <w:marBottom w:val="0"/>
      <w:divBdr>
        <w:top w:val="none" w:sz="0" w:space="0" w:color="auto"/>
        <w:left w:val="none" w:sz="0" w:space="0" w:color="auto"/>
        <w:bottom w:val="none" w:sz="0" w:space="0" w:color="auto"/>
        <w:right w:val="none" w:sz="0" w:space="0" w:color="auto"/>
      </w:divBdr>
    </w:div>
    <w:div w:id="680743824">
      <w:bodyDiv w:val="1"/>
      <w:marLeft w:val="0"/>
      <w:marRight w:val="0"/>
      <w:marTop w:val="0"/>
      <w:marBottom w:val="0"/>
      <w:divBdr>
        <w:top w:val="none" w:sz="0" w:space="0" w:color="auto"/>
        <w:left w:val="none" w:sz="0" w:space="0" w:color="auto"/>
        <w:bottom w:val="none" w:sz="0" w:space="0" w:color="auto"/>
        <w:right w:val="none" w:sz="0" w:space="0" w:color="auto"/>
      </w:divBdr>
    </w:div>
    <w:div w:id="751924974">
      <w:bodyDiv w:val="1"/>
      <w:marLeft w:val="0"/>
      <w:marRight w:val="0"/>
      <w:marTop w:val="0"/>
      <w:marBottom w:val="0"/>
      <w:divBdr>
        <w:top w:val="none" w:sz="0" w:space="0" w:color="auto"/>
        <w:left w:val="none" w:sz="0" w:space="0" w:color="auto"/>
        <w:bottom w:val="none" w:sz="0" w:space="0" w:color="auto"/>
        <w:right w:val="none" w:sz="0" w:space="0" w:color="auto"/>
      </w:divBdr>
    </w:div>
    <w:div w:id="806969530">
      <w:bodyDiv w:val="1"/>
      <w:marLeft w:val="0"/>
      <w:marRight w:val="0"/>
      <w:marTop w:val="0"/>
      <w:marBottom w:val="0"/>
      <w:divBdr>
        <w:top w:val="none" w:sz="0" w:space="0" w:color="auto"/>
        <w:left w:val="none" w:sz="0" w:space="0" w:color="auto"/>
        <w:bottom w:val="none" w:sz="0" w:space="0" w:color="auto"/>
        <w:right w:val="none" w:sz="0" w:space="0" w:color="auto"/>
      </w:divBdr>
    </w:div>
    <w:div w:id="827209098">
      <w:bodyDiv w:val="1"/>
      <w:marLeft w:val="0"/>
      <w:marRight w:val="0"/>
      <w:marTop w:val="0"/>
      <w:marBottom w:val="0"/>
      <w:divBdr>
        <w:top w:val="none" w:sz="0" w:space="0" w:color="auto"/>
        <w:left w:val="none" w:sz="0" w:space="0" w:color="auto"/>
        <w:bottom w:val="none" w:sz="0" w:space="0" w:color="auto"/>
        <w:right w:val="none" w:sz="0" w:space="0" w:color="auto"/>
      </w:divBdr>
    </w:div>
    <w:div w:id="849568723">
      <w:bodyDiv w:val="1"/>
      <w:marLeft w:val="0"/>
      <w:marRight w:val="0"/>
      <w:marTop w:val="0"/>
      <w:marBottom w:val="0"/>
      <w:divBdr>
        <w:top w:val="none" w:sz="0" w:space="0" w:color="auto"/>
        <w:left w:val="none" w:sz="0" w:space="0" w:color="auto"/>
        <w:bottom w:val="none" w:sz="0" w:space="0" w:color="auto"/>
        <w:right w:val="none" w:sz="0" w:space="0" w:color="auto"/>
      </w:divBdr>
    </w:div>
    <w:div w:id="1040126951">
      <w:bodyDiv w:val="1"/>
      <w:marLeft w:val="0"/>
      <w:marRight w:val="0"/>
      <w:marTop w:val="0"/>
      <w:marBottom w:val="0"/>
      <w:divBdr>
        <w:top w:val="none" w:sz="0" w:space="0" w:color="auto"/>
        <w:left w:val="none" w:sz="0" w:space="0" w:color="auto"/>
        <w:bottom w:val="none" w:sz="0" w:space="0" w:color="auto"/>
        <w:right w:val="none" w:sz="0" w:space="0" w:color="auto"/>
      </w:divBdr>
    </w:div>
    <w:div w:id="1053115660">
      <w:bodyDiv w:val="1"/>
      <w:marLeft w:val="0"/>
      <w:marRight w:val="0"/>
      <w:marTop w:val="0"/>
      <w:marBottom w:val="0"/>
      <w:divBdr>
        <w:top w:val="none" w:sz="0" w:space="0" w:color="auto"/>
        <w:left w:val="none" w:sz="0" w:space="0" w:color="auto"/>
        <w:bottom w:val="none" w:sz="0" w:space="0" w:color="auto"/>
        <w:right w:val="none" w:sz="0" w:space="0" w:color="auto"/>
      </w:divBdr>
    </w:div>
    <w:div w:id="1105731927">
      <w:bodyDiv w:val="1"/>
      <w:marLeft w:val="0"/>
      <w:marRight w:val="0"/>
      <w:marTop w:val="0"/>
      <w:marBottom w:val="0"/>
      <w:divBdr>
        <w:top w:val="none" w:sz="0" w:space="0" w:color="auto"/>
        <w:left w:val="none" w:sz="0" w:space="0" w:color="auto"/>
        <w:bottom w:val="none" w:sz="0" w:space="0" w:color="auto"/>
        <w:right w:val="none" w:sz="0" w:space="0" w:color="auto"/>
      </w:divBdr>
    </w:div>
    <w:div w:id="1145586235">
      <w:bodyDiv w:val="1"/>
      <w:marLeft w:val="0"/>
      <w:marRight w:val="0"/>
      <w:marTop w:val="0"/>
      <w:marBottom w:val="0"/>
      <w:divBdr>
        <w:top w:val="none" w:sz="0" w:space="0" w:color="auto"/>
        <w:left w:val="none" w:sz="0" w:space="0" w:color="auto"/>
        <w:bottom w:val="none" w:sz="0" w:space="0" w:color="auto"/>
        <w:right w:val="none" w:sz="0" w:space="0" w:color="auto"/>
      </w:divBdr>
    </w:div>
    <w:div w:id="1148670236">
      <w:bodyDiv w:val="1"/>
      <w:marLeft w:val="0"/>
      <w:marRight w:val="0"/>
      <w:marTop w:val="0"/>
      <w:marBottom w:val="0"/>
      <w:divBdr>
        <w:top w:val="none" w:sz="0" w:space="0" w:color="auto"/>
        <w:left w:val="none" w:sz="0" w:space="0" w:color="auto"/>
        <w:bottom w:val="none" w:sz="0" w:space="0" w:color="auto"/>
        <w:right w:val="none" w:sz="0" w:space="0" w:color="auto"/>
      </w:divBdr>
    </w:div>
    <w:div w:id="1176648529">
      <w:bodyDiv w:val="1"/>
      <w:marLeft w:val="0"/>
      <w:marRight w:val="0"/>
      <w:marTop w:val="0"/>
      <w:marBottom w:val="0"/>
      <w:divBdr>
        <w:top w:val="none" w:sz="0" w:space="0" w:color="auto"/>
        <w:left w:val="none" w:sz="0" w:space="0" w:color="auto"/>
        <w:bottom w:val="none" w:sz="0" w:space="0" w:color="auto"/>
        <w:right w:val="none" w:sz="0" w:space="0" w:color="auto"/>
      </w:divBdr>
    </w:div>
    <w:div w:id="1184319143">
      <w:bodyDiv w:val="1"/>
      <w:marLeft w:val="0"/>
      <w:marRight w:val="0"/>
      <w:marTop w:val="0"/>
      <w:marBottom w:val="0"/>
      <w:divBdr>
        <w:top w:val="none" w:sz="0" w:space="0" w:color="auto"/>
        <w:left w:val="none" w:sz="0" w:space="0" w:color="auto"/>
        <w:bottom w:val="none" w:sz="0" w:space="0" w:color="auto"/>
        <w:right w:val="none" w:sz="0" w:space="0" w:color="auto"/>
      </w:divBdr>
    </w:div>
    <w:div w:id="1206408524">
      <w:bodyDiv w:val="1"/>
      <w:marLeft w:val="0"/>
      <w:marRight w:val="0"/>
      <w:marTop w:val="0"/>
      <w:marBottom w:val="0"/>
      <w:divBdr>
        <w:top w:val="none" w:sz="0" w:space="0" w:color="auto"/>
        <w:left w:val="none" w:sz="0" w:space="0" w:color="auto"/>
        <w:bottom w:val="none" w:sz="0" w:space="0" w:color="auto"/>
        <w:right w:val="none" w:sz="0" w:space="0" w:color="auto"/>
      </w:divBdr>
    </w:div>
    <w:div w:id="1300067359">
      <w:bodyDiv w:val="1"/>
      <w:marLeft w:val="0"/>
      <w:marRight w:val="0"/>
      <w:marTop w:val="0"/>
      <w:marBottom w:val="0"/>
      <w:divBdr>
        <w:top w:val="none" w:sz="0" w:space="0" w:color="auto"/>
        <w:left w:val="none" w:sz="0" w:space="0" w:color="auto"/>
        <w:bottom w:val="none" w:sz="0" w:space="0" w:color="auto"/>
        <w:right w:val="none" w:sz="0" w:space="0" w:color="auto"/>
      </w:divBdr>
    </w:div>
    <w:div w:id="1314527810">
      <w:bodyDiv w:val="1"/>
      <w:marLeft w:val="0"/>
      <w:marRight w:val="0"/>
      <w:marTop w:val="0"/>
      <w:marBottom w:val="0"/>
      <w:divBdr>
        <w:top w:val="none" w:sz="0" w:space="0" w:color="auto"/>
        <w:left w:val="none" w:sz="0" w:space="0" w:color="auto"/>
        <w:bottom w:val="none" w:sz="0" w:space="0" w:color="auto"/>
        <w:right w:val="none" w:sz="0" w:space="0" w:color="auto"/>
      </w:divBdr>
    </w:div>
    <w:div w:id="1322076532">
      <w:bodyDiv w:val="1"/>
      <w:marLeft w:val="0"/>
      <w:marRight w:val="0"/>
      <w:marTop w:val="0"/>
      <w:marBottom w:val="0"/>
      <w:divBdr>
        <w:top w:val="none" w:sz="0" w:space="0" w:color="auto"/>
        <w:left w:val="none" w:sz="0" w:space="0" w:color="auto"/>
        <w:bottom w:val="none" w:sz="0" w:space="0" w:color="auto"/>
        <w:right w:val="none" w:sz="0" w:space="0" w:color="auto"/>
      </w:divBdr>
    </w:div>
    <w:div w:id="1335299681">
      <w:bodyDiv w:val="1"/>
      <w:marLeft w:val="0"/>
      <w:marRight w:val="0"/>
      <w:marTop w:val="0"/>
      <w:marBottom w:val="0"/>
      <w:divBdr>
        <w:top w:val="none" w:sz="0" w:space="0" w:color="auto"/>
        <w:left w:val="none" w:sz="0" w:space="0" w:color="auto"/>
        <w:bottom w:val="none" w:sz="0" w:space="0" w:color="auto"/>
        <w:right w:val="none" w:sz="0" w:space="0" w:color="auto"/>
      </w:divBdr>
    </w:div>
    <w:div w:id="1440179745">
      <w:bodyDiv w:val="1"/>
      <w:marLeft w:val="0"/>
      <w:marRight w:val="0"/>
      <w:marTop w:val="0"/>
      <w:marBottom w:val="0"/>
      <w:divBdr>
        <w:top w:val="none" w:sz="0" w:space="0" w:color="auto"/>
        <w:left w:val="none" w:sz="0" w:space="0" w:color="auto"/>
        <w:bottom w:val="none" w:sz="0" w:space="0" w:color="auto"/>
        <w:right w:val="none" w:sz="0" w:space="0" w:color="auto"/>
      </w:divBdr>
    </w:div>
    <w:div w:id="1452359233">
      <w:bodyDiv w:val="1"/>
      <w:marLeft w:val="0"/>
      <w:marRight w:val="0"/>
      <w:marTop w:val="0"/>
      <w:marBottom w:val="0"/>
      <w:divBdr>
        <w:top w:val="none" w:sz="0" w:space="0" w:color="auto"/>
        <w:left w:val="none" w:sz="0" w:space="0" w:color="auto"/>
        <w:bottom w:val="none" w:sz="0" w:space="0" w:color="auto"/>
        <w:right w:val="none" w:sz="0" w:space="0" w:color="auto"/>
      </w:divBdr>
    </w:div>
    <w:div w:id="1453866725">
      <w:bodyDiv w:val="1"/>
      <w:marLeft w:val="0"/>
      <w:marRight w:val="0"/>
      <w:marTop w:val="0"/>
      <w:marBottom w:val="0"/>
      <w:divBdr>
        <w:top w:val="none" w:sz="0" w:space="0" w:color="auto"/>
        <w:left w:val="none" w:sz="0" w:space="0" w:color="auto"/>
        <w:bottom w:val="none" w:sz="0" w:space="0" w:color="auto"/>
        <w:right w:val="none" w:sz="0" w:space="0" w:color="auto"/>
      </w:divBdr>
    </w:div>
    <w:div w:id="1455975671">
      <w:bodyDiv w:val="1"/>
      <w:marLeft w:val="0"/>
      <w:marRight w:val="0"/>
      <w:marTop w:val="0"/>
      <w:marBottom w:val="0"/>
      <w:divBdr>
        <w:top w:val="none" w:sz="0" w:space="0" w:color="auto"/>
        <w:left w:val="none" w:sz="0" w:space="0" w:color="auto"/>
        <w:bottom w:val="none" w:sz="0" w:space="0" w:color="auto"/>
        <w:right w:val="none" w:sz="0" w:space="0" w:color="auto"/>
      </w:divBdr>
    </w:div>
    <w:div w:id="1463769982">
      <w:bodyDiv w:val="1"/>
      <w:marLeft w:val="0"/>
      <w:marRight w:val="0"/>
      <w:marTop w:val="0"/>
      <w:marBottom w:val="0"/>
      <w:divBdr>
        <w:top w:val="none" w:sz="0" w:space="0" w:color="auto"/>
        <w:left w:val="none" w:sz="0" w:space="0" w:color="auto"/>
        <w:bottom w:val="none" w:sz="0" w:space="0" w:color="auto"/>
        <w:right w:val="none" w:sz="0" w:space="0" w:color="auto"/>
      </w:divBdr>
    </w:div>
    <w:div w:id="1506435383">
      <w:bodyDiv w:val="1"/>
      <w:marLeft w:val="0"/>
      <w:marRight w:val="0"/>
      <w:marTop w:val="0"/>
      <w:marBottom w:val="0"/>
      <w:divBdr>
        <w:top w:val="none" w:sz="0" w:space="0" w:color="auto"/>
        <w:left w:val="none" w:sz="0" w:space="0" w:color="auto"/>
        <w:bottom w:val="none" w:sz="0" w:space="0" w:color="auto"/>
        <w:right w:val="none" w:sz="0" w:space="0" w:color="auto"/>
      </w:divBdr>
    </w:div>
    <w:div w:id="1613970781">
      <w:bodyDiv w:val="1"/>
      <w:marLeft w:val="0"/>
      <w:marRight w:val="0"/>
      <w:marTop w:val="0"/>
      <w:marBottom w:val="0"/>
      <w:divBdr>
        <w:top w:val="none" w:sz="0" w:space="0" w:color="auto"/>
        <w:left w:val="none" w:sz="0" w:space="0" w:color="auto"/>
        <w:bottom w:val="none" w:sz="0" w:space="0" w:color="auto"/>
        <w:right w:val="none" w:sz="0" w:space="0" w:color="auto"/>
      </w:divBdr>
    </w:div>
    <w:div w:id="1680423251">
      <w:bodyDiv w:val="1"/>
      <w:marLeft w:val="0"/>
      <w:marRight w:val="0"/>
      <w:marTop w:val="0"/>
      <w:marBottom w:val="0"/>
      <w:divBdr>
        <w:top w:val="none" w:sz="0" w:space="0" w:color="auto"/>
        <w:left w:val="none" w:sz="0" w:space="0" w:color="auto"/>
        <w:bottom w:val="none" w:sz="0" w:space="0" w:color="auto"/>
        <w:right w:val="none" w:sz="0" w:space="0" w:color="auto"/>
      </w:divBdr>
    </w:div>
    <w:div w:id="1734083269">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932615351">
      <w:bodyDiv w:val="1"/>
      <w:marLeft w:val="0"/>
      <w:marRight w:val="0"/>
      <w:marTop w:val="0"/>
      <w:marBottom w:val="0"/>
      <w:divBdr>
        <w:top w:val="none" w:sz="0" w:space="0" w:color="auto"/>
        <w:left w:val="none" w:sz="0" w:space="0" w:color="auto"/>
        <w:bottom w:val="none" w:sz="0" w:space="0" w:color="auto"/>
        <w:right w:val="none" w:sz="0" w:space="0" w:color="auto"/>
      </w:divBdr>
    </w:div>
    <w:div w:id="1977493083">
      <w:bodyDiv w:val="1"/>
      <w:marLeft w:val="0"/>
      <w:marRight w:val="0"/>
      <w:marTop w:val="0"/>
      <w:marBottom w:val="0"/>
      <w:divBdr>
        <w:top w:val="none" w:sz="0" w:space="0" w:color="auto"/>
        <w:left w:val="none" w:sz="0" w:space="0" w:color="auto"/>
        <w:bottom w:val="none" w:sz="0" w:space="0" w:color="auto"/>
        <w:right w:val="none" w:sz="0" w:space="0" w:color="auto"/>
      </w:divBdr>
    </w:div>
    <w:div w:id="2002659262">
      <w:bodyDiv w:val="1"/>
      <w:marLeft w:val="0"/>
      <w:marRight w:val="0"/>
      <w:marTop w:val="0"/>
      <w:marBottom w:val="0"/>
      <w:divBdr>
        <w:top w:val="none" w:sz="0" w:space="0" w:color="auto"/>
        <w:left w:val="none" w:sz="0" w:space="0" w:color="auto"/>
        <w:bottom w:val="none" w:sz="0" w:space="0" w:color="auto"/>
        <w:right w:val="none" w:sz="0" w:space="0" w:color="auto"/>
      </w:divBdr>
    </w:div>
    <w:div w:id="2007393904">
      <w:bodyDiv w:val="1"/>
      <w:marLeft w:val="0"/>
      <w:marRight w:val="0"/>
      <w:marTop w:val="0"/>
      <w:marBottom w:val="0"/>
      <w:divBdr>
        <w:top w:val="none" w:sz="0" w:space="0" w:color="auto"/>
        <w:left w:val="none" w:sz="0" w:space="0" w:color="auto"/>
        <w:bottom w:val="none" w:sz="0" w:space="0" w:color="auto"/>
        <w:right w:val="none" w:sz="0" w:space="0" w:color="auto"/>
      </w:divBdr>
    </w:div>
    <w:div w:id="2100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b215ca9a13265f92f2c1de86bd415659">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c1a75dfaa8183477db97f35e46fb51d6"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95CC7-094E-4290-B7A9-0658257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08BEE-89B5-43E3-A5DB-2F6BC0B1A148}">
  <ds:schemaRefs>
    <ds:schemaRef ds:uri="http://schemas.microsoft.com/office/2006/metadata/properties"/>
    <ds:schemaRef ds:uri="http://schemas.microsoft.com/office/infopath/2007/PartnerControls"/>
    <ds:schemaRef ds:uri="http://schemas.microsoft.com/sharepoint/v3"/>
    <ds:schemaRef ds:uri="fc8c83e1-e4af-414a-b3b5-326eb82e57bc"/>
  </ds:schemaRefs>
</ds:datastoreItem>
</file>

<file path=customXml/itemProps3.xml><?xml version="1.0" encoding="utf-8"?>
<ds:datastoreItem xmlns:ds="http://schemas.openxmlformats.org/officeDocument/2006/customXml" ds:itemID="{E550AFED-9CDF-499D-80A6-57A5682D5648}">
  <ds:schemaRefs>
    <ds:schemaRef ds:uri="http://schemas.openxmlformats.org/officeDocument/2006/bibliography"/>
  </ds:schemaRefs>
</ds:datastoreItem>
</file>

<file path=customXml/itemProps4.xml><?xml version="1.0" encoding="utf-8"?>
<ds:datastoreItem xmlns:ds="http://schemas.openxmlformats.org/officeDocument/2006/customXml" ds:itemID="{4848A0D8-B4BF-46BE-A9EF-1EE395861AB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DELLOW, David (THE PRINCESS ALEXANDRA HOSPITAL NHS TRUST)</dc:creator>
  <cp:keywords/>
  <dc:description/>
  <cp:lastModifiedBy>COLLINGS, Charlotte (THE PRINCESS ALEXANDRA HOSPITAL NHS TRUST)</cp:lastModifiedBy>
  <cp:revision>2</cp:revision>
  <cp:lastPrinted>2025-01-20T10:59:00Z</cp:lastPrinted>
  <dcterms:created xsi:type="dcterms:W3CDTF">2025-12-24T13:37:00Z</dcterms:created>
  <dcterms:modified xsi:type="dcterms:W3CDTF">2025-12-24T13:37:00Z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