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056"/>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1376"/>
        <w:gridCol w:w="412"/>
        <w:gridCol w:w="1101"/>
        <w:gridCol w:w="275"/>
        <w:gridCol w:w="412"/>
        <w:gridCol w:w="1037"/>
        <w:gridCol w:w="524"/>
        <w:gridCol w:w="300"/>
        <w:gridCol w:w="481"/>
        <w:gridCol w:w="1033"/>
        <w:gridCol w:w="728"/>
      </w:tblGrid>
      <w:tr w:rsidR="00541DE7" w:rsidRPr="00EB38B7" w14:paraId="7BBBADC1" w14:textId="77777777" w:rsidTr="00587EE5">
        <w:trPr>
          <w:cantSplit/>
          <w:trHeight w:val="3003"/>
        </w:trPr>
        <w:tc>
          <w:tcPr>
            <w:tcW w:w="2930" w:type="dxa"/>
            <w:tcBorders>
              <w:top w:val="single" w:sz="4" w:space="0" w:color="auto"/>
              <w:left w:val="single" w:sz="4" w:space="0" w:color="auto"/>
              <w:bottom w:val="single" w:sz="4" w:space="0" w:color="auto"/>
              <w:right w:val="single" w:sz="4" w:space="0" w:color="auto"/>
            </w:tcBorders>
          </w:tcPr>
          <w:p w14:paraId="17EBFD57" w14:textId="77777777" w:rsidR="00541DE7" w:rsidRPr="00205904" w:rsidRDefault="00541DE7" w:rsidP="004B3D3B">
            <w:pPr>
              <w:spacing w:after="0" w:line="240" w:lineRule="auto"/>
              <w:rPr>
                <w:rFonts w:ascii="Arial" w:eastAsia="Times New Roman" w:hAnsi="Arial" w:cs="Arial"/>
                <w:b/>
                <w:bCs/>
                <w:lang w:eastAsia="en-GB"/>
              </w:rPr>
            </w:pPr>
          </w:p>
          <w:p w14:paraId="5362A209"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Agenda item:</w:t>
            </w:r>
          </w:p>
          <w:p w14:paraId="09EF0C4A"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2B71E44"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Presented by:</w:t>
            </w:r>
          </w:p>
          <w:p w14:paraId="3610F710"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43E2EAE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Prepared by:</w:t>
            </w:r>
          </w:p>
          <w:p w14:paraId="735B057F"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05EEC7F6" w14:textId="2E1575F1"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Date prepared:</w:t>
            </w:r>
          </w:p>
          <w:p w14:paraId="3479CE5B" w14:textId="77777777" w:rsidR="00541DE7" w:rsidRPr="00205904" w:rsidRDefault="00541DE7" w:rsidP="004B3D3B">
            <w:pPr>
              <w:spacing w:after="0" w:line="240" w:lineRule="auto"/>
              <w:rPr>
                <w:rFonts w:ascii="Arial" w:eastAsia="Times New Roman" w:hAnsi="Arial" w:cs="Arial"/>
                <w:b/>
                <w:bCs/>
                <w:color w:val="005EB8"/>
                <w:sz w:val="24"/>
                <w:lang w:eastAsia="en-GB"/>
              </w:rPr>
            </w:pPr>
          </w:p>
          <w:p w14:paraId="3FEE566B" w14:textId="77777777" w:rsidR="00541DE7" w:rsidRPr="00205904" w:rsidRDefault="00541DE7" w:rsidP="004B3D3B">
            <w:pPr>
              <w:spacing w:after="0" w:line="240" w:lineRule="auto"/>
              <w:rPr>
                <w:rFonts w:ascii="Arial" w:eastAsia="Times New Roman" w:hAnsi="Arial" w:cs="Arial"/>
                <w:b/>
                <w:bCs/>
                <w:color w:val="005EB8"/>
                <w:sz w:val="24"/>
                <w:lang w:eastAsia="en-GB"/>
              </w:rPr>
            </w:pPr>
            <w:r w:rsidRPr="00205904">
              <w:rPr>
                <w:rFonts w:ascii="Arial" w:eastAsia="Times New Roman" w:hAnsi="Arial" w:cs="Arial"/>
                <w:b/>
                <w:bCs/>
                <w:color w:val="005EB8"/>
                <w:sz w:val="24"/>
                <w:lang w:eastAsia="en-GB"/>
              </w:rPr>
              <w:t>Subject / title:</w:t>
            </w:r>
          </w:p>
          <w:p w14:paraId="35762D26" w14:textId="77777777" w:rsidR="00541DE7" w:rsidRPr="00205904" w:rsidRDefault="00541DE7" w:rsidP="004B3D3B">
            <w:pPr>
              <w:spacing w:after="0" w:line="240" w:lineRule="auto"/>
              <w:rPr>
                <w:rFonts w:ascii="Arial" w:eastAsia="Times New Roman" w:hAnsi="Arial" w:cs="Arial"/>
                <w:b/>
                <w:bCs/>
                <w:lang w:eastAsia="en-GB"/>
              </w:rPr>
            </w:pPr>
            <w:r w:rsidRPr="00205904">
              <w:rPr>
                <w:rFonts w:ascii="Arial" w:eastAsia="Times New Roman" w:hAnsi="Arial" w:cs="Arial"/>
                <w:b/>
                <w:bCs/>
                <w:lang w:eastAsia="en-GB"/>
              </w:rPr>
              <w:t xml:space="preserve"> </w:t>
            </w:r>
          </w:p>
        </w:tc>
        <w:tc>
          <w:tcPr>
            <w:tcW w:w="7679" w:type="dxa"/>
            <w:gridSpan w:val="11"/>
            <w:tcBorders>
              <w:top w:val="single" w:sz="4" w:space="0" w:color="auto"/>
              <w:left w:val="single" w:sz="4" w:space="0" w:color="auto"/>
              <w:bottom w:val="single" w:sz="4" w:space="0" w:color="auto"/>
              <w:right w:val="single" w:sz="4" w:space="0" w:color="auto"/>
            </w:tcBorders>
            <w:hideMark/>
          </w:tcPr>
          <w:p w14:paraId="11AEE253" w14:textId="77777777" w:rsidR="00541DE7" w:rsidRPr="00590685" w:rsidRDefault="00541DE7" w:rsidP="004B3D3B">
            <w:pPr>
              <w:spacing w:after="0" w:line="240" w:lineRule="auto"/>
              <w:rPr>
                <w:rFonts w:ascii="Arial" w:eastAsia="Times New Roman" w:hAnsi="Arial" w:cs="Arial"/>
                <w:bCs/>
                <w:lang w:eastAsia="en-GB"/>
              </w:rPr>
            </w:pPr>
          </w:p>
          <w:p w14:paraId="4C8810D0" w14:textId="77777777" w:rsidR="00541DE7" w:rsidRDefault="00541DE7" w:rsidP="004B3D3B">
            <w:pPr>
              <w:spacing w:after="0" w:line="240" w:lineRule="auto"/>
              <w:rPr>
                <w:rFonts w:ascii="Arial" w:eastAsia="Times New Roman" w:hAnsi="Arial" w:cs="Arial"/>
                <w:bCs/>
                <w:lang w:eastAsia="en-GB"/>
              </w:rPr>
            </w:pPr>
          </w:p>
          <w:p w14:paraId="6B1232F8" w14:textId="77777777" w:rsidR="00587EE5" w:rsidRPr="00590685" w:rsidRDefault="00587EE5" w:rsidP="004B3D3B">
            <w:pPr>
              <w:spacing w:after="0" w:line="240" w:lineRule="auto"/>
              <w:rPr>
                <w:rFonts w:ascii="Arial" w:eastAsia="Times New Roman" w:hAnsi="Arial" w:cs="Arial"/>
                <w:bCs/>
                <w:lang w:eastAsia="en-GB"/>
              </w:rPr>
            </w:pPr>
          </w:p>
          <w:p w14:paraId="1AF9E4B1" w14:textId="0ADA19E1" w:rsidR="00541DE7" w:rsidRPr="00590685" w:rsidRDefault="00E16D7D" w:rsidP="004B3D3B">
            <w:pPr>
              <w:spacing w:after="0" w:line="240" w:lineRule="auto"/>
              <w:rPr>
                <w:rFonts w:ascii="Arial" w:eastAsia="Times New Roman" w:hAnsi="Arial" w:cs="Arial"/>
                <w:bCs/>
                <w:lang w:eastAsia="en-GB"/>
              </w:rPr>
            </w:pPr>
            <w:r>
              <w:rPr>
                <w:rFonts w:ascii="Arial" w:eastAsia="Times New Roman" w:hAnsi="Arial" w:cs="Arial"/>
                <w:bCs/>
                <w:lang w:eastAsia="en-GB"/>
              </w:rPr>
              <w:t>Jo Ward - Interim</w:t>
            </w:r>
            <w:r w:rsidR="00541DE7" w:rsidRPr="00590685">
              <w:rPr>
                <w:rFonts w:ascii="Arial" w:eastAsia="Times New Roman" w:hAnsi="Arial" w:cs="Arial"/>
                <w:bCs/>
                <w:lang w:eastAsia="en-GB"/>
              </w:rPr>
              <w:t xml:space="preserve"> Chief Nurse</w:t>
            </w:r>
          </w:p>
          <w:p w14:paraId="7FC707B4" w14:textId="77777777" w:rsidR="00541DE7" w:rsidRPr="00590685" w:rsidRDefault="00541DE7" w:rsidP="004B3D3B">
            <w:pPr>
              <w:spacing w:after="0" w:line="240" w:lineRule="auto"/>
              <w:rPr>
                <w:rFonts w:ascii="Arial" w:eastAsia="Times New Roman" w:hAnsi="Arial" w:cs="Arial"/>
                <w:bCs/>
                <w:lang w:eastAsia="en-GB"/>
              </w:rPr>
            </w:pPr>
          </w:p>
          <w:p w14:paraId="117F8772" w14:textId="2D821D8F" w:rsidR="00541DE7" w:rsidRDefault="000672FA" w:rsidP="004B3D3B">
            <w:pPr>
              <w:spacing w:after="0" w:line="240" w:lineRule="auto"/>
              <w:rPr>
                <w:rFonts w:ascii="Arial" w:hAnsi="Arial" w:cs="Arial"/>
              </w:rPr>
            </w:pPr>
            <w:r w:rsidRPr="00590685">
              <w:rPr>
                <w:rFonts w:ascii="Arial" w:hAnsi="Arial" w:cs="Arial"/>
              </w:rPr>
              <w:t>Charlotte Collings</w:t>
            </w:r>
            <w:r w:rsidR="00466004">
              <w:rPr>
                <w:rFonts w:ascii="Arial" w:hAnsi="Arial" w:cs="Arial"/>
              </w:rPr>
              <w:t xml:space="preserve"> – </w:t>
            </w:r>
            <w:r w:rsidRPr="00590685">
              <w:rPr>
                <w:rFonts w:ascii="Arial" w:hAnsi="Arial" w:cs="Arial"/>
              </w:rPr>
              <w:t xml:space="preserve">Lead Nurse for </w:t>
            </w:r>
            <w:r w:rsidR="0016272C">
              <w:rPr>
                <w:rFonts w:ascii="Arial" w:hAnsi="Arial" w:cs="Arial"/>
              </w:rPr>
              <w:t xml:space="preserve">Safe </w:t>
            </w:r>
            <w:r w:rsidRPr="00590685">
              <w:rPr>
                <w:rFonts w:ascii="Arial" w:hAnsi="Arial" w:cs="Arial"/>
              </w:rPr>
              <w:t>Staffing and Workforce</w:t>
            </w:r>
            <w:r w:rsidR="00541DE7" w:rsidRPr="00590685">
              <w:rPr>
                <w:rFonts w:ascii="Arial" w:hAnsi="Arial" w:cs="Arial"/>
              </w:rPr>
              <w:t xml:space="preserve"> </w:t>
            </w:r>
          </w:p>
          <w:p w14:paraId="0F140C46" w14:textId="3B8D12C2" w:rsidR="00E16D7D" w:rsidRPr="00590685" w:rsidRDefault="00E16D7D" w:rsidP="004B3D3B">
            <w:pPr>
              <w:spacing w:after="0" w:line="240" w:lineRule="auto"/>
              <w:rPr>
                <w:rFonts w:ascii="Arial" w:hAnsi="Arial" w:cs="Arial"/>
              </w:rPr>
            </w:pPr>
            <w:r>
              <w:rPr>
                <w:rFonts w:ascii="Arial" w:hAnsi="Arial" w:cs="Arial"/>
              </w:rPr>
              <w:t>Polly Read – Interim Deputy Chief Nurse</w:t>
            </w:r>
          </w:p>
          <w:p w14:paraId="647BC80D" w14:textId="77777777" w:rsidR="000672FA" w:rsidRPr="00590685" w:rsidRDefault="000672FA" w:rsidP="004B3D3B">
            <w:pPr>
              <w:spacing w:after="0" w:line="240" w:lineRule="auto"/>
              <w:rPr>
                <w:rFonts w:ascii="Arial" w:hAnsi="Arial" w:cs="Arial"/>
              </w:rPr>
            </w:pPr>
          </w:p>
          <w:p w14:paraId="2223E42B" w14:textId="541A8F89" w:rsidR="003325F2" w:rsidRPr="003A3F4D" w:rsidRDefault="007122D6" w:rsidP="004B3D3B">
            <w:pPr>
              <w:spacing w:after="0" w:line="240" w:lineRule="auto"/>
              <w:rPr>
                <w:rFonts w:ascii="Arial" w:eastAsia="Times New Roman" w:hAnsi="Arial" w:cs="Arial"/>
                <w:bCs/>
                <w:lang w:eastAsia="en-GB"/>
              </w:rPr>
            </w:pPr>
            <w:r>
              <w:rPr>
                <w:rFonts w:ascii="Arial" w:eastAsia="Times New Roman" w:hAnsi="Arial" w:cs="Arial"/>
                <w:bCs/>
                <w:lang w:eastAsia="en-GB"/>
              </w:rPr>
              <w:t>16 January</w:t>
            </w:r>
            <w:r w:rsidR="003A3F4D" w:rsidRPr="003A3F4D">
              <w:rPr>
                <w:rFonts w:ascii="Arial" w:eastAsia="Times New Roman" w:hAnsi="Arial" w:cs="Arial"/>
                <w:bCs/>
                <w:lang w:eastAsia="en-GB"/>
              </w:rPr>
              <w:t xml:space="preserve"> 202</w:t>
            </w:r>
            <w:r>
              <w:rPr>
                <w:rFonts w:ascii="Arial" w:eastAsia="Times New Roman" w:hAnsi="Arial" w:cs="Arial"/>
                <w:bCs/>
                <w:lang w:eastAsia="en-GB"/>
              </w:rPr>
              <w:t>6</w:t>
            </w:r>
          </w:p>
          <w:p w14:paraId="3230778E" w14:textId="77777777" w:rsidR="00772E77" w:rsidRPr="00590685" w:rsidRDefault="00772E77" w:rsidP="004B3D3B">
            <w:pPr>
              <w:spacing w:after="0" w:line="240" w:lineRule="auto"/>
              <w:rPr>
                <w:rFonts w:ascii="Arial" w:eastAsia="Times New Roman" w:hAnsi="Arial" w:cs="Arial"/>
                <w:bCs/>
                <w:lang w:eastAsia="en-GB"/>
              </w:rPr>
            </w:pPr>
          </w:p>
          <w:p w14:paraId="32EAFB69" w14:textId="4414286F" w:rsidR="00541DE7" w:rsidRPr="00590685" w:rsidRDefault="00E16D7D" w:rsidP="00E16D7D">
            <w:pPr>
              <w:spacing w:after="0" w:line="240" w:lineRule="auto"/>
              <w:rPr>
                <w:rFonts w:ascii="Arial" w:eastAsia="Times New Roman" w:hAnsi="Arial" w:cs="Arial"/>
                <w:bCs/>
                <w:lang w:eastAsia="en-GB"/>
              </w:rPr>
            </w:pPr>
            <w:r>
              <w:rPr>
                <w:rFonts w:ascii="Arial" w:eastAsia="Times New Roman" w:hAnsi="Arial" w:cs="Arial"/>
                <w:bCs/>
                <w:lang w:eastAsia="en-GB"/>
              </w:rPr>
              <w:t xml:space="preserve">Safe Staffing Monthly report – </w:t>
            </w:r>
            <w:r w:rsidR="007122D6">
              <w:rPr>
                <w:rFonts w:ascii="Arial" w:eastAsia="Times New Roman" w:hAnsi="Arial" w:cs="Arial"/>
                <w:bCs/>
                <w:lang w:eastAsia="en-GB"/>
              </w:rPr>
              <w:t>December</w:t>
            </w:r>
            <w:r>
              <w:rPr>
                <w:rFonts w:ascii="Arial" w:eastAsia="Times New Roman" w:hAnsi="Arial" w:cs="Arial"/>
                <w:bCs/>
                <w:lang w:eastAsia="en-GB"/>
              </w:rPr>
              <w:t xml:space="preserve"> 2025</w:t>
            </w:r>
          </w:p>
        </w:tc>
      </w:tr>
      <w:tr w:rsidR="00541DE7" w:rsidRPr="00EB38B7" w14:paraId="2EB4BEC7" w14:textId="77777777" w:rsidTr="00587EE5">
        <w:trPr>
          <w:cantSplit/>
          <w:trHeight w:val="292"/>
        </w:trPr>
        <w:tc>
          <w:tcPr>
            <w:tcW w:w="2930" w:type="dxa"/>
            <w:tcBorders>
              <w:top w:val="single" w:sz="4" w:space="0" w:color="auto"/>
              <w:left w:val="single" w:sz="4" w:space="0" w:color="auto"/>
              <w:bottom w:val="single" w:sz="4" w:space="0" w:color="auto"/>
              <w:right w:val="single" w:sz="4" w:space="0" w:color="auto"/>
            </w:tcBorders>
          </w:tcPr>
          <w:p w14:paraId="6A05B14F" w14:textId="77777777" w:rsidR="00541DE7" w:rsidRPr="00E9073B" w:rsidRDefault="00541DE7" w:rsidP="004B3D3B">
            <w:pPr>
              <w:spacing w:after="0" w:line="240" w:lineRule="auto"/>
              <w:rPr>
                <w:rFonts w:ascii="Arial" w:eastAsia="Times New Roman" w:hAnsi="Arial" w:cs="Arial"/>
                <w:b/>
                <w:bCs/>
                <w:sz w:val="24"/>
                <w:szCs w:val="24"/>
                <w:lang w:eastAsia="en-GB"/>
              </w:rPr>
            </w:pPr>
            <w:r w:rsidRPr="00E9073B">
              <w:rPr>
                <w:rFonts w:ascii="Arial" w:eastAsia="Times New Roman" w:hAnsi="Arial" w:cs="Arial"/>
                <w:b/>
                <w:bCs/>
                <w:color w:val="005EB8"/>
                <w:sz w:val="24"/>
                <w:szCs w:val="24"/>
                <w:lang w:eastAsia="en-GB"/>
              </w:rPr>
              <w:t>Purpose:</w:t>
            </w:r>
          </w:p>
        </w:tc>
        <w:tc>
          <w:tcPr>
            <w:tcW w:w="1376" w:type="dxa"/>
            <w:tcBorders>
              <w:top w:val="single" w:sz="4" w:space="0" w:color="auto"/>
              <w:left w:val="single" w:sz="4" w:space="0" w:color="auto"/>
              <w:bottom w:val="single" w:sz="4" w:space="0" w:color="auto"/>
              <w:right w:val="single" w:sz="4" w:space="0" w:color="auto"/>
            </w:tcBorders>
          </w:tcPr>
          <w:p w14:paraId="777008A0"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Approval</w:t>
            </w:r>
          </w:p>
        </w:tc>
        <w:tc>
          <w:tcPr>
            <w:tcW w:w="412" w:type="dxa"/>
            <w:tcBorders>
              <w:top w:val="single" w:sz="4" w:space="0" w:color="auto"/>
              <w:left w:val="single" w:sz="4" w:space="0" w:color="auto"/>
              <w:bottom w:val="single" w:sz="4" w:space="0" w:color="auto"/>
              <w:right w:val="single" w:sz="4" w:space="0" w:color="auto"/>
            </w:tcBorders>
          </w:tcPr>
          <w:p w14:paraId="2007D5AB"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376" w:type="dxa"/>
            <w:gridSpan w:val="2"/>
            <w:tcBorders>
              <w:top w:val="single" w:sz="4" w:space="0" w:color="auto"/>
              <w:left w:val="single" w:sz="4" w:space="0" w:color="auto"/>
              <w:bottom w:val="single" w:sz="4" w:space="0" w:color="auto"/>
              <w:right w:val="single" w:sz="4" w:space="0" w:color="auto"/>
            </w:tcBorders>
          </w:tcPr>
          <w:p w14:paraId="679CB83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Decision</w:t>
            </w:r>
          </w:p>
        </w:tc>
        <w:tc>
          <w:tcPr>
            <w:tcW w:w="412" w:type="dxa"/>
            <w:tcBorders>
              <w:top w:val="single" w:sz="4" w:space="0" w:color="auto"/>
              <w:left w:val="single" w:sz="4" w:space="0" w:color="auto"/>
              <w:bottom w:val="single" w:sz="4" w:space="0" w:color="auto"/>
              <w:right w:val="single" w:sz="4" w:space="0" w:color="auto"/>
            </w:tcBorders>
          </w:tcPr>
          <w:p w14:paraId="02531D0D"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p>
        </w:tc>
        <w:tc>
          <w:tcPr>
            <w:tcW w:w="1561" w:type="dxa"/>
            <w:gridSpan w:val="2"/>
            <w:tcBorders>
              <w:top w:val="single" w:sz="4" w:space="0" w:color="auto"/>
              <w:left w:val="single" w:sz="4" w:space="0" w:color="auto"/>
              <w:bottom w:val="single" w:sz="4" w:space="0" w:color="auto"/>
              <w:right w:val="single" w:sz="4" w:space="0" w:color="auto"/>
            </w:tcBorders>
          </w:tcPr>
          <w:p w14:paraId="498E28C1"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Information</w:t>
            </w:r>
          </w:p>
        </w:tc>
        <w:tc>
          <w:tcPr>
            <w:tcW w:w="300" w:type="dxa"/>
            <w:tcBorders>
              <w:top w:val="single" w:sz="4" w:space="0" w:color="auto"/>
              <w:left w:val="single" w:sz="4" w:space="0" w:color="auto"/>
              <w:bottom w:val="single" w:sz="4" w:space="0" w:color="auto"/>
              <w:right w:val="single" w:sz="4" w:space="0" w:color="auto"/>
            </w:tcBorders>
          </w:tcPr>
          <w:p w14:paraId="6DBE5452"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c>
          <w:tcPr>
            <w:tcW w:w="1514" w:type="dxa"/>
            <w:gridSpan w:val="2"/>
            <w:tcBorders>
              <w:top w:val="single" w:sz="4" w:space="0" w:color="auto"/>
              <w:left w:val="single" w:sz="4" w:space="0" w:color="auto"/>
              <w:bottom w:val="single" w:sz="4" w:space="0" w:color="auto"/>
              <w:right w:val="single" w:sz="4" w:space="0" w:color="auto"/>
            </w:tcBorders>
          </w:tcPr>
          <w:p w14:paraId="39B5C753" w14:textId="77777777" w:rsidR="00541DE7" w:rsidRPr="00CA712F" w:rsidRDefault="00541DE7" w:rsidP="004B3D3B">
            <w:pPr>
              <w:spacing w:after="0" w:line="240" w:lineRule="auto"/>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Assurance</w:t>
            </w:r>
          </w:p>
        </w:tc>
        <w:tc>
          <w:tcPr>
            <w:tcW w:w="724" w:type="dxa"/>
            <w:tcBorders>
              <w:top w:val="single" w:sz="4" w:space="0" w:color="auto"/>
              <w:left w:val="single" w:sz="4" w:space="0" w:color="auto"/>
              <w:bottom w:val="single" w:sz="4" w:space="0" w:color="auto"/>
              <w:right w:val="single" w:sz="4" w:space="0" w:color="auto"/>
            </w:tcBorders>
          </w:tcPr>
          <w:p w14:paraId="0DAC869C" w14:textId="77777777" w:rsidR="00541DE7" w:rsidRPr="00CA712F" w:rsidRDefault="00541DE7" w:rsidP="004B3D3B">
            <w:pPr>
              <w:spacing w:after="0" w:line="240" w:lineRule="auto"/>
              <w:jc w:val="center"/>
              <w:rPr>
                <w:rFonts w:ascii="Arial" w:eastAsia="Times New Roman" w:hAnsi="Arial" w:cs="Arial"/>
                <w:b/>
                <w:color w:val="005EB8"/>
                <w:sz w:val="24"/>
                <w:szCs w:val="24"/>
                <w:lang w:eastAsia="en-GB"/>
              </w:rPr>
            </w:pPr>
            <w:r w:rsidRPr="00CA712F">
              <w:rPr>
                <w:rFonts w:ascii="Arial" w:eastAsia="Times New Roman" w:hAnsi="Arial" w:cs="Arial"/>
                <w:b/>
                <w:color w:val="005EB8"/>
                <w:sz w:val="24"/>
                <w:szCs w:val="24"/>
                <w:lang w:eastAsia="en-GB"/>
              </w:rPr>
              <w:t>x</w:t>
            </w:r>
          </w:p>
        </w:tc>
      </w:tr>
      <w:tr w:rsidR="00541DE7" w:rsidRPr="00EB38B7" w14:paraId="45754CC6" w14:textId="77777777" w:rsidTr="00587EE5">
        <w:trPr>
          <w:cantSplit/>
          <w:trHeight w:hRule="exact" w:val="2934"/>
        </w:trPr>
        <w:tc>
          <w:tcPr>
            <w:tcW w:w="2930" w:type="dxa"/>
            <w:tcBorders>
              <w:top w:val="single" w:sz="4" w:space="0" w:color="auto"/>
              <w:left w:val="single" w:sz="4" w:space="0" w:color="auto"/>
              <w:bottom w:val="single" w:sz="4" w:space="0" w:color="auto"/>
              <w:right w:val="single" w:sz="4" w:space="0" w:color="auto"/>
            </w:tcBorders>
            <w:hideMark/>
          </w:tcPr>
          <w:p w14:paraId="6707A34B" w14:textId="77777777" w:rsidR="00541DE7" w:rsidRPr="00DA6E3D" w:rsidRDefault="00541DE7" w:rsidP="004B3D3B">
            <w:pPr>
              <w:spacing w:after="0" w:line="240" w:lineRule="auto"/>
              <w:rPr>
                <w:rFonts w:ascii="Arial" w:eastAsia="Times New Roman" w:hAnsi="Arial" w:cs="Arial"/>
                <w:b/>
                <w:bCs/>
                <w:color w:val="005EB8"/>
                <w:sz w:val="24"/>
                <w:szCs w:val="24"/>
                <w:lang w:eastAsia="en-GB"/>
              </w:rPr>
            </w:pPr>
            <w:r w:rsidRPr="00DA6E3D">
              <w:rPr>
                <w:rFonts w:ascii="Arial" w:eastAsia="Times New Roman" w:hAnsi="Arial" w:cs="Arial"/>
                <w:b/>
                <w:bCs/>
                <w:color w:val="005EB8"/>
                <w:sz w:val="24"/>
                <w:szCs w:val="24"/>
                <w:lang w:eastAsia="en-GB"/>
              </w:rPr>
              <w:t>Key issues:</w:t>
            </w:r>
          </w:p>
          <w:p w14:paraId="2B106DA2" w14:textId="77777777" w:rsidR="00541DE7" w:rsidRPr="00DA6E3D" w:rsidRDefault="00541DE7" w:rsidP="004B3D3B">
            <w:pPr>
              <w:spacing w:after="0" w:line="240" w:lineRule="auto"/>
              <w:rPr>
                <w:rFonts w:ascii="Arial" w:eastAsia="Times New Roman" w:hAnsi="Arial" w:cs="Arial"/>
                <w:b/>
                <w:bCs/>
                <w:sz w:val="24"/>
                <w:szCs w:val="24"/>
                <w:lang w:eastAsia="en-GB"/>
              </w:rPr>
            </w:pPr>
          </w:p>
        </w:tc>
        <w:tc>
          <w:tcPr>
            <w:tcW w:w="7679" w:type="dxa"/>
            <w:gridSpan w:val="11"/>
            <w:tcBorders>
              <w:top w:val="single" w:sz="4" w:space="0" w:color="auto"/>
              <w:left w:val="single" w:sz="4" w:space="0" w:color="auto"/>
              <w:bottom w:val="single" w:sz="4" w:space="0" w:color="auto"/>
              <w:right w:val="single" w:sz="4" w:space="0" w:color="auto"/>
            </w:tcBorders>
            <w:vAlign w:val="center"/>
          </w:tcPr>
          <w:p w14:paraId="2A6F2A5E" w14:textId="3A8C82BB"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A sustained overall registered staffing fill rate of &gt;95% has been maintained.</w:t>
            </w:r>
          </w:p>
          <w:p w14:paraId="05B92A6C" w14:textId="0DBF362D"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No wards recorded an overall fill rate below 75% during the reporting month.</w:t>
            </w:r>
          </w:p>
          <w:p w14:paraId="2B9D35A5" w14:textId="5D85FC52" w:rsidR="00E16D7D" w:rsidRPr="00E16D7D" w:rsidRDefault="00E16D7D" w:rsidP="00E16D7D">
            <w:pPr>
              <w:pStyle w:val="ListParagraph"/>
              <w:numPr>
                <w:ilvl w:val="0"/>
                <w:numId w:val="19"/>
              </w:numPr>
              <w:shd w:val="clear" w:color="auto" w:fill="FFFFFF" w:themeFill="background1"/>
              <w:spacing w:after="0"/>
              <w:rPr>
                <w:rFonts w:ascii="Arial" w:eastAsia="Times New Roman" w:hAnsi="Arial" w:cs="Arial"/>
                <w:lang w:eastAsia="en-GB"/>
              </w:rPr>
            </w:pPr>
            <w:r w:rsidRPr="00E16D7D">
              <w:rPr>
                <w:rFonts w:ascii="Arial" w:eastAsia="Times New Roman" w:hAnsi="Arial" w:cs="Arial"/>
                <w:lang w:eastAsia="en-GB"/>
              </w:rPr>
              <w:t>The continued increase in overall fill rates is multifactorial, including a rise in enhanced care requirements.</w:t>
            </w:r>
          </w:p>
          <w:p w14:paraId="6DEC6EFB" w14:textId="1CCD19CB" w:rsidR="00541DE7" w:rsidRPr="00587EE5" w:rsidRDefault="00E16D7D" w:rsidP="00672977">
            <w:pPr>
              <w:pStyle w:val="ListParagraph"/>
              <w:numPr>
                <w:ilvl w:val="0"/>
                <w:numId w:val="19"/>
              </w:numPr>
              <w:spacing w:after="0" w:line="240" w:lineRule="auto"/>
              <w:rPr>
                <w:rFonts w:ascii="Arial" w:eastAsia="Times New Roman" w:hAnsi="Arial" w:cs="Arial"/>
                <w:lang w:eastAsia="en-GB"/>
              </w:rPr>
            </w:pPr>
            <w:r w:rsidRPr="00E16D7D">
              <w:rPr>
                <w:rFonts w:ascii="Arial" w:eastAsia="Times New Roman" w:hAnsi="Arial" w:cs="Arial"/>
                <w:lang w:eastAsia="en-GB"/>
              </w:rPr>
              <w:t>The full year nursing and midwifery establishment review was completed in September 2025 and is progressing through the agreed governance processes, with submission to the People Committee in January 2026 and the Trust Board in February 2026.</w:t>
            </w:r>
          </w:p>
          <w:p w14:paraId="226A896C" w14:textId="77777777" w:rsidR="00541DE7" w:rsidRPr="00590685" w:rsidRDefault="00541DE7" w:rsidP="00672977">
            <w:pPr>
              <w:spacing w:after="0" w:line="240" w:lineRule="auto"/>
              <w:rPr>
                <w:rFonts w:ascii="Arial" w:eastAsia="Times New Roman" w:hAnsi="Arial" w:cs="Arial"/>
                <w:sz w:val="24"/>
                <w:szCs w:val="24"/>
                <w:lang w:eastAsia="en-GB"/>
              </w:rPr>
            </w:pPr>
          </w:p>
          <w:p w14:paraId="6C26BFFC" w14:textId="77777777" w:rsidR="00541DE7" w:rsidRPr="00590685" w:rsidRDefault="00541DE7" w:rsidP="00672977">
            <w:pPr>
              <w:spacing w:after="0" w:line="240" w:lineRule="auto"/>
              <w:rPr>
                <w:rFonts w:ascii="Arial" w:eastAsia="Times New Roman" w:hAnsi="Arial" w:cs="Arial"/>
                <w:sz w:val="24"/>
                <w:szCs w:val="24"/>
                <w:lang w:eastAsia="en-GB"/>
              </w:rPr>
            </w:pPr>
          </w:p>
          <w:p w14:paraId="25A018E4" w14:textId="77777777" w:rsidR="00541DE7" w:rsidRPr="00590685" w:rsidRDefault="00541DE7" w:rsidP="00672977">
            <w:pPr>
              <w:spacing w:after="0" w:line="240" w:lineRule="auto"/>
              <w:rPr>
                <w:rFonts w:ascii="Arial" w:eastAsia="Times New Roman" w:hAnsi="Arial" w:cs="Arial"/>
                <w:sz w:val="24"/>
                <w:szCs w:val="24"/>
                <w:lang w:eastAsia="en-GB"/>
              </w:rPr>
            </w:pPr>
          </w:p>
          <w:p w14:paraId="09E79D80" w14:textId="77777777" w:rsidR="00541DE7" w:rsidRPr="00590685" w:rsidRDefault="00541DE7" w:rsidP="00672977">
            <w:pPr>
              <w:spacing w:after="0" w:line="240" w:lineRule="auto"/>
              <w:rPr>
                <w:rFonts w:ascii="Arial" w:eastAsia="Times New Roman" w:hAnsi="Arial" w:cs="Arial"/>
                <w:sz w:val="24"/>
                <w:szCs w:val="24"/>
                <w:lang w:eastAsia="en-GB"/>
              </w:rPr>
            </w:pPr>
          </w:p>
          <w:p w14:paraId="1591F398" w14:textId="77777777" w:rsidR="00541DE7" w:rsidRPr="00590685" w:rsidRDefault="00541DE7" w:rsidP="00672977">
            <w:pPr>
              <w:spacing w:after="0" w:line="240" w:lineRule="auto"/>
              <w:rPr>
                <w:rFonts w:ascii="Arial" w:eastAsia="Times New Roman" w:hAnsi="Arial" w:cs="Arial"/>
                <w:sz w:val="24"/>
                <w:szCs w:val="24"/>
                <w:lang w:eastAsia="en-GB"/>
              </w:rPr>
            </w:pPr>
          </w:p>
          <w:p w14:paraId="1B3ADB9F" w14:textId="77777777" w:rsidR="00541DE7" w:rsidRPr="00590685" w:rsidRDefault="00541DE7" w:rsidP="00672977">
            <w:pPr>
              <w:spacing w:after="0" w:line="240" w:lineRule="auto"/>
              <w:rPr>
                <w:rFonts w:ascii="Arial" w:eastAsia="Times New Roman" w:hAnsi="Arial" w:cs="Arial"/>
                <w:sz w:val="24"/>
                <w:szCs w:val="24"/>
                <w:lang w:eastAsia="en-GB"/>
              </w:rPr>
            </w:pPr>
          </w:p>
          <w:p w14:paraId="3C082E97" w14:textId="77777777" w:rsidR="00541DE7" w:rsidRPr="00590685" w:rsidRDefault="00541DE7" w:rsidP="00672977">
            <w:pPr>
              <w:spacing w:after="0" w:line="240" w:lineRule="auto"/>
              <w:rPr>
                <w:rFonts w:ascii="Arial" w:eastAsia="Times New Roman" w:hAnsi="Arial" w:cs="Arial"/>
                <w:sz w:val="24"/>
                <w:szCs w:val="24"/>
                <w:lang w:eastAsia="en-GB"/>
              </w:rPr>
            </w:pPr>
          </w:p>
          <w:p w14:paraId="20F029CE" w14:textId="77777777" w:rsidR="00541DE7" w:rsidRPr="00590685" w:rsidRDefault="00541DE7" w:rsidP="00672977">
            <w:pPr>
              <w:spacing w:after="0" w:line="240" w:lineRule="auto"/>
              <w:rPr>
                <w:rFonts w:ascii="Arial" w:eastAsia="Times New Roman" w:hAnsi="Arial" w:cs="Arial"/>
                <w:sz w:val="24"/>
                <w:szCs w:val="24"/>
                <w:lang w:eastAsia="en-GB"/>
              </w:rPr>
            </w:pPr>
          </w:p>
          <w:p w14:paraId="38807A3C" w14:textId="77777777" w:rsidR="00541DE7" w:rsidRPr="00590685" w:rsidRDefault="00541DE7" w:rsidP="00672977">
            <w:pPr>
              <w:spacing w:after="0" w:line="240" w:lineRule="auto"/>
              <w:rPr>
                <w:rFonts w:ascii="Arial" w:eastAsia="Times New Roman" w:hAnsi="Arial" w:cs="Arial"/>
                <w:sz w:val="24"/>
                <w:szCs w:val="24"/>
                <w:lang w:eastAsia="en-GB"/>
              </w:rPr>
            </w:pPr>
          </w:p>
          <w:p w14:paraId="33DE24B1" w14:textId="77777777" w:rsidR="00541DE7" w:rsidRPr="00590685" w:rsidRDefault="00541DE7" w:rsidP="00672977">
            <w:pPr>
              <w:spacing w:after="0" w:line="240" w:lineRule="auto"/>
              <w:rPr>
                <w:rFonts w:ascii="Arial" w:eastAsia="Times New Roman" w:hAnsi="Arial" w:cs="Arial"/>
                <w:sz w:val="24"/>
                <w:szCs w:val="24"/>
                <w:lang w:eastAsia="en-GB"/>
              </w:rPr>
            </w:pPr>
          </w:p>
          <w:p w14:paraId="6C326C6B" w14:textId="77777777" w:rsidR="00541DE7" w:rsidRPr="00590685" w:rsidRDefault="00541DE7" w:rsidP="00672977">
            <w:pPr>
              <w:spacing w:after="0" w:line="240" w:lineRule="auto"/>
              <w:rPr>
                <w:rFonts w:ascii="Arial" w:eastAsia="Times New Roman" w:hAnsi="Arial" w:cs="Arial"/>
                <w:sz w:val="24"/>
                <w:szCs w:val="24"/>
                <w:lang w:eastAsia="en-GB"/>
              </w:rPr>
            </w:pPr>
          </w:p>
          <w:p w14:paraId="65764812" w14:textId="77777777" w:rsidR="00541DE7" w:rsidRPr="00590685" w:rsidRDefault="00541DE7" w:rsidP="00672977">
            <w:pPr>
              <w:spacing w:after="0" w:line="240" w:lineRule="auto"/>
              <w:rPr>
                <w:rFonts w:ascii="Arial" w:eastAsia="Times New Roman" w:hAnsi="Arial" w:cs="Arial"/>
                <w:sz w:val="24"/>
                <w:szCs w:val="24"/>
                <w:lang w:eastAsia="en-GB"/>
              </w:rPr>
            </w:pPr>
          </w:p>
          <w:p w14:paraId="05B7B67B" w14:textId="77777777" w:rsidR="00541DE7" w:rsidRPr="00590685" w:rsidRDefault="00541DE7" w:rsidP="00672977">
            <w:pPr>
              <w:spacing w:after="0" w:line="240" w:lineRule="auto"/>
              <w:rPr>
                <w:rFonts w:ascii="Arial" w:eastAsia="Times New Roman" w:hAnsi="Arial" w:cs="Arial"/>
                <w:sz w:val="24"/>
                <w:szCs w:val="24"/>
                <w:lang w:eastAsia="en-GB"/>
              </w:rPr>
            </w:pPr>
          </w:p>
          <w:p w14:paraId="73E03B49" w14:textId="77777777" w:rsidR="00541DE7" w:rsidRPr="00590685" w:rsidRDefault="00541DE7" w:rsidP="00672977">
            <w:pPr>
              <w:spacing w:after="0" w:line="240" w:lineRule="auto"/>
              <w:rPr>
                <w:rFonts w:ascii="Arial" w:eastAsia="Times New Roman" w:hAnsi="Arial" w:cs="Arial"/>
                <w:sz w:val="24"/>
                <w:szCs w:val="24"/>
                <w:lang w:eastAsia="en-GB"/>
              </w:rPr>
            </w:pPr>
          </w:p>
          <w:p w14:paraId="7C4F5EF8" w14:textId="77777777" w:rsidR="00541DE7" w:rsidRPr="00590685" w:rsidRDefault="00541DE7" w:rsidP="00672977">
            <w:pPr>
              <w:spacing w:after="0" w:line="240" w:lineRule="auto"/>
              <w:rPr>
                <w:rFonts w:ascii="Arial" w:eastAsia="Times New Roman" w:hAnsi="Arial" w:cs="Arial"/>
                <w:sz w:val="24"/>
                <w:szCs w:val="24"/>
                <w:lang w:eastAsia="en-GB"/>
              </w:rPr>
            </w:pPr>
          </w:p>
          <w:p w14:paraId="0BFB4F40" w14:textId="77777777" w:rsidR="00541DE7" w:rsidRPr="00590685" w:rsidRDefault="00541DE7" w:rsidP="00672977">
            <w:pPr>
              <w:spacing w:after="0" w:line="240" w:lineRule="auto"/>
              <w:rPr>
                <w:rFonts w:ascii="Arial" w:eastAsia="Times New Roman" w:hAnsi="Arial" w:cs="Arial"/>
                <w:sz w:val="24"/>
                <w:szCs w:val="24"/>
                <w:lang w:eastAsia="en-GB"/>
              </w:rPr>
            </w:pPr>
          </w:p>
          <w:p w14:paraId="431C072B" w14:textId="77777777" w:rsidR="00541DE7" w:rsidRPr="00590685" w:rsidRDefault="00541DE7" w:rsidP="00672977">
            <w:pPr>
              <w:spacing w:after="0" w:line="240" w:lineRule="auto"/>
              <w:rPr>
                <w:rFonts w:ascii="Arial" w:eastAsia="Times New Roman" w:hAnsi="Arial" w:cs="Arial"/>
                <w:sz w:val="24"/>
                <w:szCs w:val="24"/>
                <w:lang w:eastAsia="en-GB"/>
              </w:rPr>
            </w:pPr>
          </w:p>
          <w:p w14:paraId="254BC9F3" w14:textId="77777777" w:rsidR="00541DE7" w:rsidRPr="00590685" w:rsidRDefault="00541DE7" w:rsidP="00672977">
            <w:pPr>
              <w:spacing w:after="0" w:line="240" w:lineRule="auto"/>
              <w:rPr>
                <w:rFonts w:ascii="Arial" w:eastAsia="Times New Roman" w:hAnsi="Arial" w:cs="Arial"/>
                <w:sz w:val="24"/>
                <w:szCs w:val="24"/>
                <w:lang w:eastAsia="en-GB"/>
              </w:rPr>
            </w:pPr>
          </w:p>
          <w:p w14:paraId="678F3422" w14:textId="77777777" w:rsidR="00541DE7" w:rsidRPr="00590685" w:rsidRDefault="00541DE7" w:rsidP="00672977">
            <w:pPr>
              <w:spacing w:after="0" w:line="240" w:lineRule="auto"/>
              <w:rPr>
                <w:rFonts w:ascii="Arial" w:eastAsia="Times New Roman" w:hAnsi="Arial" w:cs="Arial"/>
                <w:sz w:val="24"/>
                <w:szCs w:val="24"/>
                <w:lang w:eastAsia="en-GB"/>
              </w:rPr>
            </w:pPr>
          </w:p>
          <w:p w14:paraId="7BCFF9C7" w14:textId="77777777" w:rsidR="00541DE7" w:rsidRPr="00590685" w:rsidRDefault="00541DE7" w:rsidP="00672977">
            <w:pPr>
              <w:spacing w:after="0" w:line="240" w:lineRule="auto"/>
              <w:rPr>
                <w:rFonts w:ascii="Arial" w:eastAsia="Times New Roman" w:hAnsi="Arial" w:cs="Arial"/>
                <w:sz w:val="24"/>
                <w:szCs w:val="24"/>
                <w:lang w:eastAsia="en-GB"/>
              </w:rPr>
            </w:pPr>
          </w:p>
          <w:p w14:paraId="74AE4A0A" w14:textId="77777777" w:rsidR="00541DE7" w:rsidRPr="00590685" w:rsidRDefault="00541DE7" w:rsidP="00672977">
            <w:pPr>
              <w:spacing w:after="0" w:line="240" w:lineRule="auto"/>
              <w:rPr>
                <w:rFonts w:ascii="Arial" w:eastAsia="Times New Roman" w:hAnsi="Arial" w:cs="Arial"/>
                <w:sz w:val="24"/>
                <w:szCs w:val="24"/>
                <w:lang w:eastAsia="en-GB"/>
              </w:rPr>
            </w:pPr>
          </w:p>
          <w:p w14:paraId="5D5B607C" w14:textId="77777777" w:rsidR="00541DE7" w:rsidRPr="00590685" w:rsidRDefault="00541DE7" w:rsidP="00672977">
            <w:pPr>
              <w:spacing w:after="0" w:line="240" w:lineRule="auto"/>
              <w:rPr>
                <w:rFonts w:ascii="Arial" w:eastAsia="Times New Roman" w:hAnsi="Arial" w:cs="Arial"/>
                <w:sz w:val="24"/>
                <w:szCs w:val="24"/>
                <w:lang w:eastAsia="en-GB"/>
              </w:rPr>
            </w:pPr>
          </w:p>
          <w:p w14:paraId="159162D2" w14:textId="77777777" w:rsidR="00541DE7" w:rsidRPr="00590685" w:rsidRDefault="00541DE7" w:rsidP="00672977">
            <w:pPr>
              <w:spacing w:after="0" w:line="240" w:lineRule="auto"/>
              <w:rPr>
                <w:rFonts w:ascii="Arial" w:eastAsia="Times New Roman" w:hAnsi="Arial" w:cs="Arial"/>
                <w:sz w:val="24"/>
                <w:szCs w:val="24"/>
                <w:lang w:eastAsia="en-GB"/>
              </w:rPr>
            </w:pPr>
          </w:p>
          <w:p w14:paraId="0588C9BD" w14:textId="77777777" w:rsidR="00541DE7" w:rsidRPr="00590685" w:rsidRDefault="00541DE7" w:rsidP="00672977">
            <w:pPr>
              <w:spacing w:after="0" w:line="240" w:lineRule="auto"/>
              <w:rPr>
                <w:rFonts w:ascii="Arial" w:eastAsia="Times New Roman" w:hAnsi="Arial" w:cs="Arial"/>
                <w:sz w:val="24"/>
                <w:szCs w:val="24"/>
                <w:lang w:eastAsia="en-GB"/>
              </w:rPr>
            </w:pPr>
          </w:p>
          <w:p w14:paraId="6BB01B05" w14:textId="77777777" w:rsidR="00541DE7" w:rsidRPr="00590685" w:rsidRDefault="00541DE7" w:rsidP="00672977">
            <w:pPr>
              <w:spacing w:after="0" w:line="240" w:lineRule="auto"/>
              <w:rPr>
                <w:rFonts w:ascii="Arial" w:eastAsia="Times New Roman" w:hAnsi="Arial" w:cs="Arial"/>
                <w:sz w:val="24"/>
                <w:szCs w:val="24"/>
                <w:lang w:eastAsia="en-GB"/>
              </w:rPr>
            </w:pPr>
          </w:p>
          <w:p w14:paraId="5E0973F8" w14:textId="77777777" w:rsidR="00541DE7" w:rsidRPr="00590685" w:rsidRDefault="00541DE7" w:rsidP="00672977">
            <w:pPr>
              <w:spacing w:after="0" w:line="240" w:lineRule="auto"/>
              <w:rPr>
                <w:rFonts w:ascii="Arial" w:eastAsia="Times New Roman" w:hAnsi="Arial" w:cs="Arial"/>
                <w:sz w:val="24"/>
                <w:szCs w:val="24"/>
                <w:lang w:eastAsia="en-GB"/>
              </w:rPr>
            </w:pPr>
          </w:p>
          <w:p w14:paraId="2BB2D354" w14:textId="77777777" w:rsidR="00541DE7" w:rsidRPr="00590685" w:rsidRDefault="00541DE7" w:rsidP="00672977">
            <w:pPr>
              <w:spacing w:after="0" w:line="240" w:lineRule="auto"/>
              <w:rPr>
                <w:rFonts w:ascii="Arial" w:eastAsia="Times New Roman" w:hAnsi="Arial" w:cs="Arial"/>
                <w:sz w:val="24"/>
                <w:szCs w:val="24"/>
                <w:lang w:eastAsia="en-GB"/>
              </w:rPr>
            </w:pPr>
          </w:p>
          <w:p w14:paraId="0661F604" w14:textId="77777777" w:rsidR="00541DE7" w:rsidRPr="00590685" w:rsidRDefault="00541DE7" w:rsidP="00672977">
            <w:pPr>
              <w:spacing w:after="0" w:line="240" w:lineRule="auto"/>
              <w:rPr>
                <w:rFonts w:ascii="Arial" w:eastAsia="Times New Roman" w:hAnsi="Arial" w:cs="Arial"/>
                <w:sz w:val="24"/>
                <w:szCs w:val="24"/>
                <w:lang w:eastAsia="en-GB"/>
              </w:rPr>
            </w:pPr>
          </w:p>
          <w:p w14:paraId="7727A947" w14:textId="77777777" w:rsidR="00541DE7" w:rsidRPr="00590685" w:rsidRDefault="00541DE7" w:rsidP="00672977">
            <w:pPr>
              <w:spacing w:after="0" w:line="240" w:lineRule="auto"/>
              <w:rPr>
                <w:rFonts w:ascii="Arial" w:eastAsia="Times New Roman" w:hAnsi="Arial" w:cs="Arial"/>
                <w:sz w:val="24"/>
                <w:szCs w:val="24"/>
                <w:lang w:eastAsia="en-GB"/>
              </w:rPr>
            </w:pPr>
          </w:p>
          <w:p w14:paraId="479600FA" w14:textId="77777777" w:rsidR="00541DE7" w:rsidRPr="00590685" w:rsidRDefault="00541DE7" w:rsidP="00672977">
            <w:pPr>
              <w:spacing w:after="0" w:line="240" w:lineRule="auto"/>
              <w:rPr>
                <w:rFonts w:ascii="Arial" w:eastAsia="Times New Roman" w:hAnsi="Arial" w:cs="Arial"/>
                <w:sz w:val="24"/>
                <w:szCs w:val="24"/>
                <w:lang w:eastAsia="en-GB"/>
              </w:rPr>
            </w:pPr>
          </w:p>
          <w:p w14:paraId="60B05E25" w14:textId="77777777" w:rsidR="00541DE7" w:rsidRPr="00590685" w:rsidRDefault="00541DE7" w:rsidP="00672977">
            <w:pPr>
              <w:spacing w:after="0" w:line="240" w:lineRule="auto"/>
              <w:rPr>
                <w:rFonts w:ascii="Arial" w:eastAsia="Times New Roman" w:hAnsi="Arial" w:cs="Arial"/>
                <w:sz w:val="24"/>
                <w:szCs w:val="24"/>
                <w:lang w:eastAsia="en-GB"/>
              </w:rPr>
            </w:pPr>
          </w:p>
          <w:p w14:paraId="69189DC9" w14:textId="77777777" w:rsidR="00541DE7" w:rsidRPr="00590685" w:rsidRDefault="00541DE7" w:rsidP="00672977">
            <w:pPr>
              <w:spacing w:after="0" w:line="240" w:lineRule="auto"/>
              <w:rPr>
                <w:rFonts w:ascii="Arial" w:eastAsia="Times New Roman" w:hAnsi="Arial" w:cs="Arial"/>
                <w:sz w:val="24"/>
                <w:szCs w:val="24"/>
                <w:lang w:eastAsia="en-GB"/>
              </w:rPr>
            </w:pPr>
          </w:p>
          <w:p w14:paraId="706A1AE2" w14:textId="77777777" w:rsidR="00541DE7" w:rsidRPr="00590685" w:rsidRDefault="00541DE7" w:rsidP="00672977">
            <w:pPr>
              <w:spacing w:after="0" w:line="240" w:lineRule="auto"/>
              <w:rPr>
                <w:rFonts w:ascii="Arial" w:eastAsia="Times New Roman" w:hAnsi="Arial" w:cs="Arial"/>
                <w:sz w:val="24"/>
                <w:szCs w:val="24"/>
                <w:lang w:eastAsia="en-GB"/>
              </w:rPr>
            </w:pPr>
          </w:p>
          <w:p w14:paraId="31963B66" w14:textId="77777777" w:rsidR="00541DE7" w:rsidRPr="00590685" w:rsidRDefault="00541DE7" w:rsidP="00672977">
            <w:pPr>
              <w:spacing w:after="0" w:line="240" w:lineRule="auto"/>
              <w:rPr>
                <w:rFonts w:ascii="Arial" w:eastAsia="Times New Roman" w:hAnsi="Arial" w:cs="Arial"/>
                <w:sz w:val="24"/>
                <w:szCs w:val="24"/>
                <w:lang w:eastAsia="en-GB"/>
              </w:rPr>
            </w:pPr>
          </w:p>
          <w:p w14:paraId="6B719616" w14:textId="77777777" w:rsidR="00541DE7" w:rsidRPr="00590685" w:rsidRDefault="00541DE7" w:rsidP="00672977">
            <w:pPr>
              <w:spacing w:after="0" w:line="240" w:lineRule="auto"/>
              <w:rPr>
                <w:rFonts w:ascii="Arial" w:eastAsia="Times New Roman" w:hAnsi="Arial" w:cs="Arial"/>
                <w:sz w:val="24"/>
                <w:szCs w:val="24"/>
                <w:lang w:eastAsia="en-GB"/>
              </w:rPr>
            </w:pPr>
          </w:p>
          <w:p w14:paraId="7F97C89E" w14:textId="77777777" w:rsidR="00541DE7" w:rsidRPr="00590685" w:rsidRDefault="00541DE7" w:rsidP="00672977">
            <w:pPr>
              <w:spacing w:after="0" w:line="240" w:lineRule="auto"/>
              <w:rPr>
                <w:rFonts w:ascii="Arial" w:eastAsia="Times New Roman" w:hAnsi="Arial" w:cs="Arial"/>
                <w:sz w:val="24"/>
                <w:szCs w:val="24"/>
                <w:lang w:eastAsia="en-GB"/>
              </w:rPr>
            </w:pPr>
          </w:p>
          <w:p w14:paraId="7CF854B3" w14:textId="77777777" w:rsidR="00541DE7" w:rsidRPr="00590685" w:rsidRDefault="00541DE7" w:rsidP="00672977">
            <w:pPr>
              <w:spacing w:after="0" w:line="240" w:lineRule="auto"/>
              <w:rPr>
                <w:rFonts w:ascii="Arial" w:eastAsia="Times New Roman" w:hAnsi="Arial" w:cs="Arial"/>
                <w:sz w:val="24"/>
                <w:szCs w:val="24"/>
                <w:lang w:eastAsia="en-GB"/>
              </w:rPr>
            </w:pPr>
          </w:p>
          <w:p w14:paraId="5DD6483E" w14:textId="77777777" w:rsidR="00541DE7" w:rsidRPr="00590685" w:rsidRDefault="00541DE7" w:rsidP="00672977">
            <w:pPr>
              <w:spacing w:after="0" w:line="240" w:lineRule="auto"/>
              <w:rPr>
                <w:rFonts w:ascii="Arial" w:eastAsia="Times New Roman" w:hAnsi="Arial" w:cs="Arial"/>
                <w:sz w:val="24"/>
                <w:szCs w:val="24"/>
                <w:lang w:eastAsia="en-GB"/>
              </w:rPr>
            </w:pPr>
          </w:p>
          <w:p w14:paraId="009E5E0D" w14:textId="77777777" w:rsidR="00541DE7" w:rsidRPr="00590685" w:rsidRDefault="00541DE7" w:rsidP="00672977">
            <w:pPr>
              <w:spacing w:after="0" w:line="240" w:lineRule="auto"/>
              <w:rPr>
                <w:rFonts w:ascii="Arial" w:eastAsia="Times New Roman" w:hAnsi="Arial" w:cs="Arial"/>
                <w:sz w:val="24"/>
                <w:szCs w:val="24"/>
                <w:lang w:eastAsia="en-GB"/>
              </w:rPr>
            </w:pPr>
          </w:p>
          <w:p w14:paraId="568ABEEF" w14:textId="77777777" w:rsidR="00541DE7" w:rsidRPr="00590685" w:rsidRDefault="00541DE7" w:rsidP="00672977">
            <w:pPr>
              <w:spacing w:after="0" w:line="240" w:lineRule="auto"/>
              <w:rPr>
                <w:rFonts w:ascii="Arial" w:eastAsia="Times New Roman" w:hAnsi="Arial" w:cs="Arial"/>
                <w:sz w:val="24"/>
                <w:szCs w:val="24"/>
                <w:lang w:eastAsia="en-GB"/>
              </w:rPr>
            </w:pPr>
          </w:p>
          <w:p w14:paraId="23CBC918" w14:textId="77777777" w:rsidR="00541DE7" w:rsidRPr="00590685" w:rsidRDefault="00541DE7" w:rsidP="00672977">
            <w:pPr>
              <w:spacing w:after="0" w:line="240" w:lineRule="auto"/>
              <w:rPr>
                <w:rFonts w:ascii="Arial" w:eastAsia="Times New Roman" w:hAnsi="Arial" w:cs="Arial"/>
                <w:sz w:val="24"/>
                <w:szCs w:val="24"/>
                <w:lang w:eastAsia="en-GB"/>
              </w:rPr>
            </w:pPr>
          </w:p>
          <w:p w14:paraId="5BEE5CBB" w14:textId="77777777" w:rsidR="00541DE7" w:rsidRPr="00590685" w:rsidRDefault="00541DE7" w:rsidP="00672977">
            <w:pPr>
              <w:spacing w:after="0" w:line="240" w:lineRule="auto"/>
              <w:rPr>
                <w:rFonts w:ascii="Arial" w:eastAsia="Times New Roman" w:hAnsi="Arial" w:cs="Arial"/>
                <w:sz w:val="24"/>
                <w:szCs w:val="24"/>
                <w:lang w:eastAsia="en-GB"/>
              </w:rPr>
            </w:pPr>
          </w:p>
          <w:p w14:paraId="626868EB" w14:textId="77777777" w:rsidR="00541DE7" w:rsidRPr="00590685" w:rsidRDefault="00541DE7" w:rsidP="00672977">
            <w:pPr>
              <w:spacing w:after="0" w:line="240" w:lineRule="auto"/>
              <w:rPr>
                <w:rFonts w:ascii="Arial" w:eastAsia="Times New Roman" w:hAnsi="Arial" w:cs="Arial"/>
                <w:sz w:val="24"/>
                <w:szCs w:val="24"/>
                <w:lang w:eastAsia="en-GB"/>
              </w:rPr>
            </w:pPr>
          </w:p>
          <w:p w14:paraId="5A8DEA4B" w14:textId="77777777" w:rsidR="00541DE7" w:rsidRPr="00590685" w:rsidRDefault="00541DE7" w:rsidP="00672977">
            <w:pPr>
              <w:spacing w:after="0" w:line="240" w:lineRule="auto"/>
              <w:rPr>
                <w:rFonts w:ascii="Arial" w:eastAsia="Times New Roman" w:hAnsi="Arial" w:cs="Arial"/>
                <w:sz w:val="24"/>
                <w:szCs w:val="24"/>
                <w:lang w:eastAsia="en-GB"/>
              </w:rPr>
            </w:pPr>
          </w:p>
          <w:p w14:paraId="116220CE" w14:textId="77777777" w:rsidR="00541DE7" w:rsidRPr="00590685" w:rsidRDefault="00541DE7" w:rsidP="00672977">
            <w:pPr>
              <w:spacing w:after="0" w:line="240" w:lineRule="auto"/>
              <w:rPr>
                <w:rFonts w:ascii="Arial" w:eastAsia="Times New Roman" w:hAnsi="Arial" w:cs="Arial"/>
                <w:sz w:val="24"/>
                <w:szCs w:val="24"/>
                <w:lang w:eastAsia="en-GB"/>
              </w:rPr>
            </w:pPr>
          </w:p>
          <w:p w14:paraId="7C914557" w14:textId="77777777" w:rsidR="00541DE7" w:rsidRPr="00590685" w:rsidRDefault="00541DE7" w:rsidP="00672977">
            <w:pPr>
              <w:spacing w:after="0" w:line="240" w:lineRule="auto"/>
              <w:rPr>
                <w:rFonts w:ascii="Arial" w:eastAsia="Times New Roman" w:hAnsi="Arial" w:cs="Arial"/>
                <w:sz w:val="24"/>
                <w:szCs w:val="24"/>
                <w:lang w:eastAsia="en-GB"/>
              </w:rPr>
            </w:pPr>
          </w:p>
          <w:p w14:paraId="6C1E17E2" w14:textId="77777777" w:rsidR="00541DE7" w:rsidRPr="00590685" w:rsidRDefault="00541DE7" w:rsidP="00672977">
            <w:pPr>
              <w:spacing w:after="0" w:line="240" w:lineRule="auto"/>
              <w:rPr>
                <w:rFonts w:ascii="Arial" w:eastAsia="Times New Roman" w:hAnsi="Arial" w:cs="Arial"/>
                <w:sz w:val="24"/>
                <w:szCs w:val="24"/>
                <w:lang w:eastAsia="en-GB"/>
              </w:rPr>
            </w:pPr>
          </w:p>
          <w:p w14:paraId="59872DEA" w14:textId="77777777" w:rsidR="00541DE7" w:rsidRPr="00590685" w:rsidRDefault="00541DE7" w:rsidP="00672977">
            <w:pPr>
              <w:spacing w:after="0" w:line="240" w:lineRule="auto"/>
              <w:rPr>
                <w:rFonts w:ascii="Arial" w:eastAsia="Times New Roman" w:hAnsi="Arial" w:cs="Arial"/>
                <w:sz w:val="24"/>
                <w:szCs w:val="24"/>
                <w:lang w:eastAsia="en-GB"/>
              </w:rPr>
            </w:pPr>
          </w:p>
          <w:p w14:paraId="31F94ABE" w14:textId="77777777" w:rsidR="00541DE7" w:rsidRPr="00590685" w:rsidRDefault="00541DE7" w:rsidP="00672977">
            <w:pPr>
              <w:spacing w:after="0" w:line="240" w:lineRule="auto"/>
              <w:rPr>
                <w:rFonts w:ascii="Arial" w:eastAsia="Times New Roman" w:hAnsi="Arial" w:cs="Arial"/>
                <w:sz w:val="24"/>
                <w:szCs w:val="24"/>
                <w:lang w:eastAsia="en-GB"/>
              </w:rPr>
            </w:pPr>
          </w:p>
          <w:p w14:paraId="43B5219B" w14:textId="77777777" w:rsidR="00541DE7" w:rsidRPr="00590685" w:rsidRDefault="00541DE7" w:rsidP="00672977">
            <w:pPr>
              <w:spacing w:after="0" w:line="240" w:lineRule="auto"/>
              <w:rPr>
                <w:rFonts w:ascii="Arial" w:eastAsia="Times New Roman" w:hAnsi="Arial" w:cs="Arial"/>
                <w:sz w:val="24"/>
                <w:szCs w:val="24"/>
                <w:lang w:eastAsia="en-GB"/>
              </w:rPr>
            </w:pPr>
          </w:p>
          <w:p w14:paraId="16D71532" w14:textId="77777777" w:rsidR="00541DE7" w:rsidRPr="00590685" w:rsidRDefault="00541DE7" w:rsidP="00672977">
            <w:pPr>
              <w:spacing w:after="0" w:line="240" w:lineRule="auto"/>
              <w:rPr>
                <w:rFonts w:ascii="Arial" w:eastAsia="Times New Roman" w:hAnsi="Arial" w:cs="Arial"/>
                <w:sz w:val="24"/>
                <w:szCs w:val="24"/>
                <w:lang w:eastAsia="en-GB"/>
              </w:rPr>
            </w:pPr>
          </w:p>
          <w:p w14:paraId="5454E97E" w14:textId="77777777" w:rsidR="00541DE7" w:rsidRPr="00590685" w:rsidRDefault="00541DE7" w:rsidP="00672977">
            <w:pPr>
              <w:spacing w:after="0" w:line="240" w:lineRule="auto"/>
              <w:rPr>
                <w:rFonts w:ascii="Arial" w:eastAsia="Times New Roman" w:hAnsi="Arial" w:cs="Arial"/>
                <w:sz w:val="24"/>
                <w:szCs w:val="24"/>
                <w:lang w:eastAsia="en-GB"/>
              </w:rPr>
            </w:pPr>
          </w:p>
          <w:p w14:paraId="588E67CE" w14:textId="77777777" w:rsidR="00541DE7" w:rsidRPr="00590685" w:rsidRDefault="00541DE7" w:rsidP="00672977">
            <w:pPr>
              <w:spacing w:after="0" w:line="240" w:lineRule="auto"/>
              <w:rPr>
                <w:rFonts w:ascii="Arial" w:eastAsia="Times New Roman" w:hAnsi="Arial" w:cs="Arial"/>
                <w:sz w:val="24"/>
                <w:szCs w:val="24"/>
                <w:lang w:eastAsia="en-GB"/>
              </w:rPr>
            </w:pPr>
          </w:p>
          <w:p w14:paraId="6A312C4A" w14:textId="77777777" w:rsidR="00541DE7" w:rsidRPr="00590685" w:rsidRDefault="00541DE7" w:rsidP="00672977">
            <w:pPr>
              <w:spacing w:after="0" w:line="240" w:lineRule="auto"/>
              <w:rPr>
                <w:rFonts w:ascii="Arial" w:eastAsia="Times New Roman" w:hAnsi="Arial" w:cs="Arial"/>
                <w:sz w:val="24"/>
                <w:szCs w:val="24"/>
                <w:lang w:eastAsia="en-GB"/>
              </w:rPr>
            </w:pPr>
          </w:p>
          <w:p w14:paraId="7B7D06A5" w14:textId="77777777" w:rsidR="00541DE7" w:rsidRPr="00590685" w:rsidRDefault="00541DE7" w:rsidP="00672977">
            <w:pPr>
              <w:spacing w:after="0" w:line="240" w:lineRule="auto"/>
              <w:rPr>
                <w:rFonts w:ascii="Arial" w:eastAsia="Times New Roman" w:hAnsi="Arial" w:cs="Arial"/>
                <w:sz w:val="24"/>
                <w:szCs w:val="24"/>
                <w:lang w:eastAsia="en-GB"/>
              </w:rPr>
            </w:pPr>
          </w:p>
          <w:p w14:paraId="0674DA23" w14:textId="77777777" w:rsidR="00541DE7" w:rsidRPr="00590685" w:rsidRDefault="00541DE7" w:rsidP="00672977">
            <w:pPr>
              <w:spacing w:after="0" w:line="240" w:lineRule="auto"/>
              <w:rPr>
                <w:rFonts w:ascii="Arial" w:eastAsia="Times New Roman" w:hAnsi="Arial" w:cs="Arial"/>
                <w:sz w:val="24"/>
                <w:szCs w:val="24"/>
                <w:lang w:eastAsia="en-GB"/>
              </w:rPr>
            </w:pPr>
          </w:p>
          <w:p w14:paraId="4BE11D4C" w14:textId="77777777" w:rsidR="00541DE7" w:rsidRPr="00590685" w:rsidRDefault="00541DE7" w:rsidP="00672977">
            <w:pPr>
              <w:spacing w:after="0" w:line="240" w:lineRule="auto"/>
              <w:rPr>
                <w:rFonts w:ascii="Arial" w:eastAsia="Times New Roman" w:hAnsi="Arial" w:cs="Arial"/>
                <w:sz w:val="24"/>
                <w:szCs w:val="24"/>
                <w:lang w:eastAsia="en-GB"/>
              </w:rPr>
            </w:pPr>
          </w:p>
          <w:p w14:paraId="162DC960" w14:textId="77777777" w:rsidR="00541DE7" w:rsidRPr="00590685" w:rsidRDefault="00541DE7" w:rsidP="00672977">
            <w:pPr>
              <w:spacing w:after="0" w:line="240" w:lineRule="auto"/>
              <w:rPr>
                <w:rFonts w:ascii="Arial" w:eastAsia="Times New Roman" w:hAnsi="Arial" w:cs="Arial"/>
                <w:sz w:val="24"/>
                <w:szCs w:val="24"/>
                <w:lang w:eastAsia="en-GB"/>
              </w:rPr>
            </w:pPr>
          </w:p>
          <w:p w14:paraId="75931667" w14:textId="77777777" w:rsidR="00541DE7" w:rsidRPr="00590685" w:rsidRDefault="00541DE7" w:rsidP="00672977">
            <w:pPr>
              <w:spacing w:after="0" w:line="240" w:lineRule="auto"/>
              <w:rPr>
                <w:rFonts w:ascii="Arial" w:eastAsia="Times New Roman" w:hAnsi="Arial" w:cs="Arial"/>
                <w:sz w:val="24"/>
                <w:szCs w:val="24"/>
                <w:lang w:eastAsia="en-GB"/>
              </w:rPr>
            </w:pPr>
          </w:p>
          <w:p w14:paraId="26CF65E8" w14:textId="77777777" w:rsidR="00541DE7" w:rsidRPr="00590685" w:rsidRDefault="00541DE7" w:rsidP="00672977">
            <w:pPr>
              <w:spacing w:after="0" w:line="240" w:lineRule="auto"/>
              <w:rPr>
                <w:rFonts w:ascii="Arial" w:eastAsia="Times New Roman" w:hAnsi="Arial" w:cs="Arial"/>
                <w:sz w:val="24"/>
                <w:szCs w:val="24"/>
                <w:lang w:eastAsia="en-GB"/>
              </w:rPr>
            </w:pPr>
          </w:p>
          <w:p w14:paraId="7D852BC0" w14:textId="77777777" w:rsidR="00541DE7" w:rsidRPr="00590685" w:rsidRDefault="00541DE7" w:rsidP="00672977">
            <w:pPr>
              <w:spacing w:after="0" w:line="240" w:lineRule="auto"/>
              <w:rPr>
                <w:rFonts w:ascii="Arial" w:eastAsia="Times New Roman" w:hAnsi="Arial" w:cs="Arial"/>
                <w:sz w:val="24"/>
                <w:szCs w:val="24"/>
                <w:lang w:eastAsia="en-GB"/>
              </w:rPr>
            </w:pPr>
          </w:p>
          <w:p w14:paraId="78EC66F9" w14:textId="77777777" w:rsidR="00541DE7" w:rsidRPr="00590685" w:rsidRDefault="00541DE7" w:rsidP="00672977">
            <w:pPr>
              <w:spacing w:after="0" w:line="240" w:lineRule="auto"/>
              <w:rPr>
                <w:rFonts w:ascii="Arial" w:eastAsia="Times New Roman" w:hAnsi="Arial" w:cs="Arial"/>
                <w:sz w:val="24"/>
                <w:szCs w:val="24"/>
                <w:lang w:eastAsia="en-GB"/>
              </w:rPr>
            </w:pPr>
          </w:p>
          <w:p w14:paraId="203752F9" w14:textId="77777777" w:rsidR="00541DE7" w:rsidRPr="00590685" w:rsidRDefault="00541DE7" w:rsidP="00672977">
            <w:pPr>
              <w:spacing w:after="0" w:line="240" w:lineRule="auto"/>
              <w:rPr>
                <w:rFonts w:ascii="Arial" w:eastAsia="Times New Roman" w:hAnsi="Arial" w:cs="Arial"/>
                <w:sz w:val="24"/>
                <w:szCs w:val="24"/>
                <w:lang w:eastAsia="en-GB"/>
              </w:rPr>
            </w:pPr>
          </w:p>
          <w:p w14:paraId="0576DF52" w14:textId="77777777" w:rsidR="00541DE7" w:rsidRPr="00590685" w:rsidRDefault="00541DE7" w:rsidP="00672977">
            <w:pPr>
              <w:spacing w:after="0" w:line="240" w:lineRule="auto"/>
              <w:rPr>
                <w:rFonts w:ascii="Arial" w:eastAsia="Times New Roman" w:hAnsi="Arial" w:cs="Arial"/>
                <w:sz w:val="24"/>
                <w:szCs w:val="24"/>
                <w:lang w:eastAsia="en-GB"/>
              </w:rPr>
            </w:pPr>
          </w:p>
          <w:p w14:paraId="3C61FD7E" w14:textId="77777777" w:rsidR="00541DE7" w:rsidRPr="00590685" w:rsidRDefault="00541DE7" w:rsidP="00672977">
            <w:pPr>
              <w:spacing w:after="0" w:line="240" w:lineRule="auto"/>
              <w:rPr>
                <w:rFonts w:ascii="Arial" w:eastAsia="Times New Roman" w:hAnsi="Arial" w:cs="Arial"/>
                <w:sz w:val="24"/>
                <w:szCs w:val="24"/>
                <w:lang w:eastAsia="en-GB"/>
              </w:rPr>
            </w:pPr>
          </w:p>
          <w:p w14:paraId="1646A72A" w14:textId="77777777" w:rsidR="00541DE7" w:rsidRPr="00590685" w:rsidRDefault="00541DE7" w:rsidP="00672977">
            <w:pPr>
              <w:spacing w:after="0" w:line="240" w:lineRule="auto"/>
              <w:rPr>
                <w:rFonts w:ascii="Arial" w:eastAsia="Times New Roman" w:hAnsi="Arial" w:cs="Arial"/>
                <w:sz w:val="24"/>
                <w:szCs w:val="24"/>
                <w:lang w:eastAsia="en-GB"/>
              </w:rPr>
            </w:pPr>
          </w:p>
          <w:p w14:paraId="2F87A850" w14:textId="77777777" w:rsidR="00541DE7" w:rsidRPr="00590685" w:rsidRDefault="00541DE7" w:rsidP="00672977">
            <w:pPr>
              <w:spacing w:after="0" w:line="240" w:lineRule="auto"/>
              <w:rPr>
                <w:rFonts w:ascii="Arial" w:eastAsia="Times New Roman" w:hAnsi="Arial" w:cs="Arial"/>
                <w:sz w:val="24"/>
                <w:szCs w:val="24"/>
                <w:lang w:eastAsia="en-GB"/>
              </w:rPr>
            </w:pPr>
          </w:p>
          <w:p w14:paraId="0250C56E" w14:textId="77777777" w:rsidR="00541DE7" w:rsidRPr="00590685" w:rsidRDefault="00541DE7" w:rsidP="00672977">
            <w:pPr>
              <w:spacing w:after="0" w:line="240" w:lineRule="auto"/>
              <w:rPr>
                <w:rFonts w:ascii="Arial" w:eastAsia="Times New Roman" w:hAnsi="Arial" w:cs="Arial"/>
                <w:sz w:val="24"/>
                <w:szCs w:val="24"/>
                <w:lang w:eastAsia="en-GB"/>
              </w:rPr>
            </w:pPr>
          </w:p>
          <w:p w14:paraId="6FB2C18F"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7B8786C"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3AF0A02D" w14:textId="77777777" w:rsidR="00541DE7" w:rsidRPr="00590685" w:rsidRDefault="00541DE7" w:rsidP="00672977">
            <w:pPr>
              <w:spacing w:after="0" w:line="240" w:lineRule="auto"/>
              <w:rPr>
                <w:rFonts w:ascii="Arial" w:eastAsia="Times New Roman" w:hAnsi="Arial" w:cs="Arial"/>
                <w:sz w:val="24"/>
                <w:szCs w:val="24"/>
                <w:lang w:eastAsia="en-GB"/>
              </w:rPr>
            </w:pPr>
          </w:p>
          <w:p w14:paraId="3C3DA920" w14:textId="77777777" w:rsidR="00541DE7" w:rsidRPr="00590685" w:rsidRDefault="00541DE7" w:rsidP="00672977">
            <w:pPr>
              <w:spacing w:after="0" w:line="240" w:lineRule="auto"/>
              <w:rPr>
                <w:rFonts w:ascii="Arial" w:eastAsia="Times New Roman" w:hAnsi="Arial" w:cs="Arial"/>
                <w:sz w:val="24"/>
                <w:szCs w:val="24"/>
                <w:lang w:eastAsia="en-GB"/>
              </w:rPr>
            </w:pPr>
          </w:p>
          <w:p w14:paraId="248E151B" w14:textId="77777777" w:rsidR="00541DE7" w:rsidRPr="00590685" w:rsidRDefault="00541DE7" w:rsidP="00672977">
            <w:pPr>
              <w:spacing w:after="0" w:line="240" w:lineRule="auto"/>
              <w:rPr>
                <w:rFonts w:ascii="Arial" w:eastAsia="Times New Roman" w:hAnsi="Arial" w:cs="Arial"/>
                <w:sz w:val="24"/>
                <w:szCs w:val="24"/>
                <w:lang w:eastAsia="en-GB"/>
              </w:rPr>
            </w:pPr>
          </w:p>
          <w:p w14:paraId="79CC7689" w14:textId="77777777" w:rsidR="00541DE7" w:rsidRPr="00590685" w:rsidRDefault="00541DE7" w:rsidP="00672977">
            <w:pPr>
              <w:spacing w:after="0" w:line="240" w:lineRule="auto"/>
              <w:rPr>
                <w:rFonts w:ascii="Arial" w:eastAsia="Times New Roman" w:hAnsi="Arial" w:cs="Arial"/>
                <w:sz w:val="24"/>
                <w:szCs w:val="24"/>
                <w:lang w:eastAsia="en-GB"/>
              </w:rPr>
            </w:pPr>
          </w:p>
          <w:p w14:paraId="33EC5BC8" w14:textId="77777777" w:rsidR="00541DE7" w:rsidRPr="00590685" w:rsidRDefault="00541DE7" w:rsidP="00672977">
            <w:pPr>
              <w:spacing w:after="0" w:line="240" w:lineRule="auto"/>
              <w:rPr>
                <w:rFonts w:ascii="Arial" w:eastAsia="Times New Roman" w:hAnsi="Arial" w:cs="Arial"/>
                <w:sz w:val="24"/>
                <w:szCs w:val="24"/>
                <w:lang w:eastAsia="en-GB"/>
              </w:rPr>
            </w:pPr>
          </w:p>
          <w:p w14:paraId="0D89E4CC" w14:textId="77777777" w:rsidR="00541DE7" w:rsidRPr="00590685" w:rsidRDefault="00541DE7" w:rsidP="00672977">
            <w:pPr>
              <w:spacing w:after="0" w:line="240" w:lineRule="auto"/>
              <w:rPr>
                <w:rFonts w:ascii="Arial" w:eastAsia="Times New Roman" w:hAnsi="Arial" w:cs="Arial"/>
                <w:sz w:val="24"/>
                <w:szCs w:val="24"/>
                <w:lang w:eastAsia="en-GB"/>
              </w:rPr>
            </w:pPr>
          </w:p>
          <w:p w14:paraId="7E1B111D" w14:textId="77777777" w:rsidR="00541DE7" w:rsidRPr="00590685" w:rsidRDefault="00541DE7" w:rsidP="00672977">
            <w:pPr>
              <w:spacing w:after="0" w:line="240" w:lineRule="auto"/>
              <w:rPr>
                <w:rFonts w:ascii="Arial" w:eastAsia="Times New Roman" w:hAnsi="Arial" w:cs="Arial"/>
                <w:sz w:val="24"/>
                <w:szCs w:val="24"/>
                <w:lang w:eastAsia="en-GB"/>
              </w:rPr>
            </w:pPr>
          </w:p>
          <w:p w14:paraId="6F6C8FC6" w14:textId="77777777" w:rsidR="00541DE7" w:rsidRPr="00590685" w:rsidRDefault="00541DE7" w:rsidP="00672977">
            <w:pPr>
              <w:spacing w:after="0" w:line="240" w:lineRule="auto"/>
              <w:rPr>
                <w:rFonts w:ascii="Arial" w:eastAsia="Times New Roman" w:hAnsi="Arial" w:cs="Arial"/>
                <w:sz w:val="24"/>
                <w:szCs w:val="24"/>
                <w:lang w:eastAsia="en-GB"/>
              </w:rPr>
            </w:pPr>
          </w:p>
          <w:p w14:paraId="32D4A414" w14:textId="77777777" w:rsidR="00541DE7" w:rsidRPr="00590685" w:rsidRDefault="00541DE7" w:rsidP="00672977">
            <w:pPr>
              <w:spacing w:after="0" w:line="240" w:lineRule="auto"/>
              <w:rPr>
                <w:rFonts w:ascii="Arial" w:eastAsia="Times New Roman" w:hAnsi="Arial" w:cs="Arial"/>
                <w:sz w:val="24"/>
                <w:szCs w:val="24"/>
                <w:lang w:eastAsia="en-GB"/>
              </w:rPr>
            </w:pPr>
          </w:p>
          <w:p w14:paraId="22A76491" w14:textId="77777777" w:rsidR="00541DE7" w:rsidRPr="00590685" w:rsidRDefault="00541DE7" w:rsidP="00672977">
            <w:pPr>
              <w:spacing w:after="0" w:line="240" w:lineRule="auto"/>
              <w:rPr>
                <w:rFonts w:ascii="Arial" w:eastAsia="Times New Roman" w:hAnsi="Arial" w:cs="Arial"/>
                <w:sz w:val="24"/>
                <w:szCs w:val="24"/>
                <w:lang w:eastAsia="en-GB"/>
              </w:rPr>
            </w:pPr>
          </w:p>
          <w:p w14:paraId="0AC9C53A" w14:textId="77777777" w:rsidR="00541DE7" w:rsidRPr="00590685" w:rsidRDefault="00541DE7" w:rsidP="00672977">
            <w:pPr>
              <w:spacing w:after="0" w:line="240" w:lineRule="auto"/>
              <w:rPr>
                <w:rFonts w:ascii="Arial" w:eastAsia="Times New Roman" w:hAnsi="Arial" w:cs="Arial"/>
                <w:sz w:val="24"/>
                <w:szCs w:val="24"/>
                <w:lang w:eastAsia="en-GB"/>
              </w:rPr>
            </w:pPr>
          </w:p>
          <w:p w14:paraId="799FFE89" w14:textId="77777777" w:rsidR="00541DE7" w:rsidRPr="00590685" w:rsidRDefault="00541DE7" w:rsidP="00672977">
            <w:pPr>
              <w:spacing w:after="0" w:line="240" w:lineRule="auto"/>
              <w:rPr>
                <w:rFonts w:ascii="Arial" w:eastAsia="Times New Roman" w:hAnsi="Arial" w:cs="Arial"/>
                <w:sz w:val="24"/>
                <w:szCs w:val="24"/>
                <w:lang w:eastAsia="en-GB"/>
              </w:rPr>
            </w:pPr>
          </w:p>
          <w:p w14:paraId="09F4BE04" w14:textId="77777777" w:rsidR="00541DE7" w:rsidRPr="00590685" w:rsidRDefault="00541DE7" w:rsidP="00672977">
            <w:pPr>
              <w:spacing w:after="0" w:line="240" w:lineRule="auto"/>
              <w:rPr>
                <w:rFonts w:ascii="Arial" w:eastAsia="Times New Roman" w:hAnsi="Arial" w:cs="Arial"/>
                <w:sz w:val="24"/>
                <w:szCs w:val="24"/>
                <w:lang w:eastAsia="en-GB"/>
              </w:rPr>
            </w:pPr>
          </w:p>
          <w:p w14:paraId="0D2A56D4" w14:textId="77777777" w:rsidR="00541DE7" w:rsidRPr="00590685" w:rsidRDefault="00541DE7" w:rsidP="00672977">
            <w:pPr>
              <w:spacing w:after="0" w:line="240" w:lineRule="auto"/>
              <w:rPr>
                <w:rFonts w:ascii="Arial" w:eastAsia="Times New Roman" w:hAnsi="Arial" w:cs="Arial"/>
                <w:sz w:val="24"/>
                <w:szCs w:val="24"/>
                <w:lang w:eastAsia="en-GB"/>
              </w:rPr>
            </w:pPr>
          </w:p>
          <w:p w14:paraId="2C51BF69" w14:textId="77777777" w:rsidR="00541DE7" w:rsidRPr="00590685" w:rsidRDefault="00541DE7" w:rsidP="00672977">
            <w:pPr>
              <w:spacing w:after="0" w:line="240" w:lineRule="auto"/>
              <w:rPr>
                <w:rFonts w:ascii="Arial" w:eastAsia="Times New Roman" w:hAnsi="Arial" w:cs="Arial"/>
                <w:sz w:val="24"/>
                <w:szCs w:val="24"/>
                <w:lang w:eastAsia="en-GB"/>
              </w:rPr>
            </w:pPr>
          </w:p>
          <w:p w14:paraId="5728E20E" w14:textId="77777777" w:rsidR="00541DE7" w:rsidRPr="00590685" w:rsidRDefault="00541DE7" w:rsidP="00672977">
            <w:pPr>
              <w:spacing w:after="0" w:line="240" w:lineRule="auto"/>
              <w:rPr>
                <w:rFonts w:ascii="Arial" w:eastAsia="Times New Roman" w:hAnsi="Arial" w:cs="Arial"/>
                <w:sz w:val="24"/>
                <w:szCs w:val="24"/>
                <w:lang w:eastAsia="en-GB"/>
              </w:rPr>
            </w:pPr>
          </w:p>
          <w:p w14:paraId="567514CB" w14:textId="77777777" w:rsidR="00541DE7" w:rsidRPr="00590685" w:rsidRDefault="00541DE7" w:rsidP="00672977">
            <w:pPr>
              <w:spacing w:after="0" w:line="240" w:lineRule="auto"/>
              <w:rPr>
                <w:rFonts w:ascii="Arial" w:eastAsia="Times New Roman" w:hAnsi="Arial" w:cs="Arial"/>
                <w:sz w:val="24"/>
                <w:szCs w:val="24"/>
                <w:lang w:eastAsia="en-GB"/>
              </w:rPr>
            </w:pPr>
          </w:p>
          <w:p w14:paraId="64AB8430" w14:textId="77777777" w:rsidR="00541DE7" w:rsidRPr="00590685" w:rsidRDefault="00541DE7" w:rsidP="00672977">
            <w:pPr>
              <w:spacing w:after="0" w:line="240" w:lineRule="auto"/>
              <w:rPr>
                <w:rFonts w:ascii="Arial" w:eastAsia="Times New Roman" w:hAnsi="Arial" w:cs="Arial"/>
                <w:sz w:val="24"/>
                <w:szCs w:val="24"/>
                <w:lang w:eastAsia="en-GB"/>
              </w:rPr>
            </w:pPr>
          </w:p>
          <w:p w14:paraId="22FB1A7A" w14:textId="77777777" w:rsidR="00541DE7" w:rsidRPr="00590685" w:rsidRDefault="00541DE7" w:rsidP="00672977">
            <w:pPr>
              <w:spacing w:after="0" w:line="240" w:lineRule="auto"/>
              <w:rPr>
                <w:rFonts w:ascii="Arial" w:eastAsia="Times New Roman" w:hAnsi="Arial" w:cs="Arial"/>
                <w:sz w:val="24"/>
                <w:szCs w:val="24"/>
                <w:lang w:eastAsia="en-GB"/>
              </w:rPr>
            </w:pPr>
          </w:p>
          <w:p w14:paraId="16338986" w14:textId="77777777" w:rsidR="00541DE7" w:rsidRPr="00590685" w:rsidRDefault="00541DE7" w:rsidP="00672977">
            <w:pPr>
              <w:spacing w:after="0" w:line="240" w:lineRule="auto"/>
              <w:rPr>
                <w:rFonts w:ascii="Arial" w:eastAsia="Times New Roman" w:hAnsi="Arial" w:cs="Arial"/>
                <w:color w:val="FF0000"/>
                <w:sz w:val="24"/>
                <w:szCs w:val="24"/>
                <w:lang w:eastAsia="en-GB"/>
              </w:rPr>
            </w:pPr>
          </w:p>
          <w:p w14:paraId="522F8CEE" w14:textId="77777777" w:rsidR="00541DE7" w:rsidRPr="00590685" w:rsidRDefault="00541DE7" w:rsidP="00672977">
            <w:pPr>
              <w:spacing w:after="0" w:line="240" w:lineRule="auto"/>
              <w:rPr>
                <w:rFonts w:ascii="Arial" w:eastAsia="Times New Roman" w:hAnsi="Arial" w:cs="Arial"/>
                <w:sz w:val="24"/>
                <w:szCs w:val="24"/>
                <w:lang w:eastAsia="en-GB"/>
              </w:rPr>
            </w:pPr>
          </w:p>
          <w:p w14:paraId="053E6998" w14:textId="77777777" w:rsidR="00541DE7" w:rsidRPr="00590685" w:rsidRDefault="00541DE7" w:rsidP="00672977">
            <w:pPr>
              <w:spacing w:after="0" w:line="240" w:lineRule="auto"/>
              <w:rPr>
                <w:rFonts w:ascii="Arial" w:eastAsia="Times New Roman" w:hAnsi="Arial" w:cs="Arial"/>
                <w:sz w:val="24"/>
                <w:szCs w:val="24"/>
                <w:lang w:eastAsia="en-GB"/>
              </w:rPr>
            </w:pPr>
          </w:p>
          <w:p w14:paraId="4665AB9C" w14:textId="77777777" w:rsidR="00541DE7" w:rsidRPr="00590685" w:rsidRDefault="00541DE7" w:rsidP="00672977">
            <w:pPr>
              <w:spacing w:after="0" w:line="240" w:lineRule="auto"/>
              <w:rPr>
                <w:rFonts w:ascii="Arial" w:eastAsia="Times New Roman" w:hAnsi="Arial" w:cs="Arial"/>
                <w:sz w:val="24"/>
                <w:szCs w:val="24"/>
                <w:lang w:eastAsia="en-GB"/>
              </w:rPr>
            </w:pPr>
          </w:p>
        </w:tc>
      </w:tr>
      <w:tr w:rsidR="00541DE7" w:rsidRPr="00EB38B7" w14:paraId="134C708C" w14:textId="77777777" w:rsidTr="00587EE5">
        <w:trPr>
          <w:cantSplit/>
          <w:trHeight w:hRule="exact" w:val="746"/>
        </w:trPr>
        <w:tc>
          <w:tcPr>
            <w:tcW w:w="2930" w:type="dxa"/>
            <w:tcBorders>
              <w:top w:val="single" w:sz="4" w:space="0" w:color="auto"/>
              <w:left w:val="single" w:sz="4" w:space="0" w:color="auto"/>
              <w:bottom w:val="single" w:sz="4" w:space="0" w:color="auto"/>
              <w:right w:val="single" w:sz="4" w:space="0" w:color="auto"/>
            </w:tcBorders>
            <w:hideMark/>
          </w:tcPr>
          <w:p w14:paraId="400F1E3F" w14:textId="77777777" w:rsidR="00541DE7" w:rsidRPr="00E9073B" w:rsidRDefault="00541DE7" w:rsidP="004B3D3B">
            <w:pPr>
              <w:spacing w:after="0" w:line="240" w:lineRule="auto"/>
              <w:rPr>
                <w:rFonts w:ascii="Arial" w:eastAsia="Times New Roman" w:hAnsi="Arial" w:cs="Arial"/>
                <w:b/>
                <w:bCs/>
                <w:sz w:val="24"/>
                <w:szCs w:val="24"/>
                <w:lang w:eastAsia="en-GB"/>
              </w:rPr>
            </w:pPr>
          </w:p>
          <w:p w14:paraId="1F083A52" w14:textId="77777777" w:rsidR="00541DE7" w:rsidRPr="00E9073B" w:rsidRDefault="00541DE7" w:rsidP="004B3D3B">
            <w:pPr>
              <w:spacing w:after="0" w:line="240" w:lineRule="auto"/>
              <w:rPr>
                <w:rFonts w:ascii="Arial" w:eastAsia="Times New Roman" w:hAnsi="Arial" w:cs="Arial"/>
                <w:b/>
                <w:bCs/>
                <w:color w:val="005EB8"/>
                <w:sz w:val="24"/>
                <w:szCs w:val="24"/>
                <w:lang w:eastAsia="en-GB"/>
              </w:rPr>
            </w:pPr>
            <w:r w:rsidRPr="00E9073B">
              <w:rPr>
                <w:rFonts w:ascii="Arial" w:eastAsia="Times New Roman" w:hAnsi="Arial" w:cs="Arial"/>
                <w:b/>
                <w:bCs/>
                <w:color w:val="005EB8"/>
                <w:sz w:val="24"/>
                <w:szCs w:val="24"/>
                <w:lang w:eastAsia="en-GB"/>
              </w:rPr>
              <w:t>Recommendation:</w:t>
            </w:r>
          </w:p>
          <w:p w14:paraId="19B210B1" w14:textId="77777777" w:rsidR="00541DE7" w:rsidRPr="00E9073B" w:rsidRDefault="00541DE7" w:rsidP="004B3D3B">
            <w:pPr>
              <w:spacing w:after="0" w:line="240" w:lineRule="auto"/>
              <w:rPr>
                <w:rFonts w:ascii="Arial" w:eastAsia="Times New Roman" w:hAnsi="Arial" w:cs="Arial"/>
                <w:b/>
                <w:bCs/>
                <w:sz w:val="24"/>
                <w:szCs w:val="24"/>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5F3712EB" w14:textId="77777777" w:rsidR="00957842"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sz w:val="24"/>
                <w:szCs w:val="24"/>
                <w:lang w:eastAsia="en-GB"/>
              </w:rPr>
              <w:t xml:space="preserve"> </w:t>
            </w:r>
          </w:p>
          <w:p w14:paraId="5EDD992F" w14:textId="77777777" w:rsidR="00541DE7" w:rsidRPr="00B12B93" w:rsidRDefault="00541DE7" w:rsidP="004B3D3B">
            <w:pPr>
              <w:spacing w:after="0" w:line="240" w:lineRule="auto"/>
              <w:rPr>
                <w:rFonts w:ascii="Arial" w:eastAsia="Times New Roman" w:hAnsi="Arial" w:cs="Arial"/>
                <w:sz w:val="24"/>
                <w:szCs w:val="24"/>
                <w:lang w:eastAsia="en-GB"/>
              </w:rPr>
            </w:pPr>
            <w:r w:rsidRPr="00B12B93">
              <w:rPr>
                <w:rFonts w:ascii="Arial" w:eastAsia="Times New Roman" w:hAnsi="Arial" w:cs="Arial"/>
                <w:bCs/>
                <w:lang w:eastAsia="en-GB"/>
              </w:rPr>
              <w:t>The committee are asked to note the information within this report.</w:t>
            </w:r>
          </w:p>
          <w:p w14:paraId="764A9BC7" w14:textId="77777777" w:rsidR="00541DE7" w:rsidRPr="00B12B93" w:rsidRDefault="00541DE7" w:rsidP="004B3D3B">
            <w:pPr>
              <w:spacing w:after="0" w:line="240" w:lineRule="auto"/>
              <w:rPr>
                <w:rFonts w:ascii="Arial" w:eastAsia="Times New Roman" w:hAnsi="Arial" w:cs="Arial"/>
                <w:sz w:val="24"/>
                <w:szCs w:val="24"/>
                <w:lang w:eastAsia="en-GB"/>
              </w:rPr>
            </w:pPr>
          </w:p>
          <w:p w14:paraId="27471D3A" w14:textId="77777777" w:rsidR="00541DE7" w:rsidRPr="00B12B93" w:rsidRDefault="00541DE7" w:rsidP="004B3D3B">
            <w:pPr>
              <w:spacing w:after="0" w:line="240" w:lineRule="auto"/>
              <w:rPr>
                <w:rFonts w:ascii="Arial" w:eastAsia="Times New Roman" w:hAnsi="Arial" w:cs="Arial"/>
                <w:sz w:val="24"/>
                <w:szCs w:val="24"/>
                <w:lang w:eastAsia="en-GB"/>
              </w:rPr>
            </w:pPr>
          </w:p>
          <w:p w14:paraId="6E38FE54" w14:textId="77777777" w:rsidR="00541DE7" w:rsidRPr="00B12B93" w:rsidRDefault="00541DE7" w:rsidP="004B3D3B">
            <w:pPr>
              <w:spacing w:after="0" w:line="240" w:lineRule="auto"/>
              <w:rPr>
                <w:rFonts w:ascii="Arial" w:eastAsia="Times New Roman" w:hAnsi="Arial" w:cs="Arial"/>
                <w:sz w:val="24"/>
                <w:szCs w:val="24"/>
                <w:lang w:eastAsia="en-GB"/>
              </w:rPr>
            </w:pPr>
          </w:p>
          <w:p w14:paraId="1B81C891" w14:textId="77777777" w:rsidR="00541DE7" w:rsidRPr="00B12B93" w:rsidRDefault="00541DE7" w:rsidP="004B3D3B">
            <w:pPr>
              <w:spacing w:after="0" w:line="240" w:lineRule="auto"/>
              <w:rPr>
                <w:rFonts w:ascii="Arial" w:eastAsia="Times New Roman" w:hAnsi="Arial" w:cs="Arial"/>
                <w:sz w:val="24"/>
                <w:szCs w:val="24"/>
                <w:lang w:eastAsia="en-GB"/>
              </w:rPr>
            </w:pPr>
          </w:p>
          <w:p w14:paraId="5CF81374" w14:textId="77777777" w:rsidR="00541DE7" w:rsidRPr="00B12B93" w:rsidRDefault="00541DE7" w:rsidP="004B3D3B">
            <w:pPr>
              <w:spacing w:after="0" w:line="240" w:lineRule="auto"/>
              <w:rPr>
                <w:rFonts w:ascii="Arial" w:eastAsia="Times New Roman" w:hAnsi="Arial" w:cs="Arial"/>
                <w:sz w:val="24"/>
                <w:szCs w:val="24"/>
                <w:lang w:eastAsia="en-GB"/>
              </w:rPr>
            </w:pPr>
          </w:p>
          <w:p w14:paraId="340F2C7F" w14:textId="77777777" w:rsidR="00541DE7" w:rsidRPr="00B12B93" w:rsidRDefault="00541DE7" w:rsidP="004B3D3B">
            <w:pPr>
              <w:spacing w:after="0" w:line="240" w:lineRule="auto"/>
              <w:rPr>
                <w:rFonts w:ascii="Arial" w:eastAsia="Times New Roman" w:hAnsi="Arial" w:cs="Arial"/>
                <w:sz w:val="24"/>
                <w:szCs w:val="24"/>
                <w:lang w:eastAsia="en-GB"/>
              </w:rPr>
            </w:pPr>
          </w:p>
          <w:p w14:paraId="452AD86E" w14:textId="77777777" w:rsidR="00541DE7" w:rsidRPr="00B12B93" w:rsidRDefault="00541DE7" w:rsidP="004B3D3B">
            <w:pPr>
              <w:spacing w:after="0" w:line="240" w:lineRule="auto"/>
              <w:rPr>
                <w:rFonts w:ascii="Arial" w:eastAsia="Times New Roman" w:hAnsi="Arial" w:cs="Arial"/>
                <w:sz w:val="24"/>
                <w:szCs w:val="24"/>
                <w:lang w:eastAsia="en-GB"/>
              </w:rPr>
            </w:pPr>
          </w:p>
          <w:p w14:paraId="17BDDB11" w14:textId="77777777" w:rsidR="00541DE7" w:rsidRPr="00B12B93" w:rsidRDefault="00541DE7" w:rsidP="004B3D3B">
            <w:pPr>
              <w:spacing w:after="0" w:line="240" w:lineRule="auto"/>
              <w:rPr>
                <w:rFonts w:ascii="Arial" w:eastAsia="Times New Roman" w:hAnsi="Arial" w:cs="Arial"/>
                <w:sz w:val="24"/>
                <w:szCs w:val="24"/>
                <w:lang w:eastAsia="en-GB"/>
              </w:rPr>
            </w:pPr>
          </w:p>
          <w:p w14:paraId="6989CC40" w14:textId="77777777" w:rsidR="00541DE7" w:rsidRPr="00B12B93" w:rsidRDefault="00541DE7" w:rsidP="004B3D3B">
            <w:pPr>
              <w:spacing w:after="0" w:line="240" w:lineRule="auto"/>
              <w:rPr>
                <w:rFonts w:ascii="Arial" w:eastAsia="Times New Roman" w:hAnsi="Arial" w:cs="Arial"/>
                <w:sz w:val="24"/>
                <w:szCs w:val="24"/>
                <w:lang w:eastAsia="en-GB"/>
              </w:rPr>
            </w:pPr>
          </w:p>
          <w:p w14:paraId="666DB27A" w14:textId="77777777" w:rsidR="00541DE7" w:rsidRPr="00B12B93" w:rsidRDefault="00541DE7" w:rsidP="004B3D3B">
            <w:pPr>
              <w:spacing w:after="0" w:line="240" w:lineRule="auto"/>
              <w:rPr>
                <w:rFonts w:ascii="Arial" w:eastAsia="Times New Roman" w:hAnsi="Arial" w:cs="Arial"/>
                <w:sz w:val="24"/>
                <w:szCs w:val="24"/>
                <w:lang w:eastAsia="en-GB"/>
              </w:rPr>
            </w:pPr>
          </w:p>
          <w:p w14:paraId="1964DC7F" w14:textId="77777777" w:rsidR="00541DE7" w:rsidRPr="00B12B93" w:rsidRDefault="00541DE7" w:rsidP="004B3D3B">
            <w:pPr>
              <w:spacing w:after="0" w:line="240" w:lineRule="auto"/>
              <w:rPr>
                <w:rFonts w:ascii="Arial" w:eastAsia="Times New Roman" w:hAnsi="Arial" w:cs="Arial"/>
                <w:sz w:val="24"/>
                <w:szCs w:val="24"/>
                <w:lang w:eastAsia="en-GB"/>
              </w:rPr>
            </w:pPr>
          </w:p>
          <w:p w14:paraId="4D6BB65F" w14:textId="77777777" w:rsidR="00541DE7" w:rsidRPr="00B12B93" w:rsidRDefault="00541DE7" w:rsidP="004B3D3B">
            <w:pPr>
              <w:spacing w:after="0" w:line="240" w:lineRule="auto"/>
              <w:rPr>
                <w:rFonts w:ascii="Arial" w:eastAsia="Times New Roman" w:hAnsi="Arial" w:cs="Arial"/>
                <w:sz w:val="24"/>
                <w:szCs w:val="24"/>
                <w:lang w:eastAsia="en-GB"/>
              </w:rPr>
            </w:pPr>
          </w:p>
          <w:p w14:paraId="38404A3B" w14:textId="77777777" w:rsidR="00541DE7" w:rsidRPr="00B12B93" w:rsidRDefault="00541DE7" w:rsidP="004B3D3B">
            <w:pPr>
              <w:spacing w:after="0" w:line="240" w:lineRule="auto"/>
              <w:rPr>
                <w:rFonts w:ascii="Arial" w:eastAsia="Times New Roman" w:hAnsi="Arial" w:cs="Arial"/>
                <w:sz w:val="24"/>
                <w:szCs w:val="24"/>
                <w:lang w:eastAsia="en-GB"/>
              </w:rPr>
            </w:pPr>
          </w:p>
          <w:p w14:paraId="156C8C9B" w14:textId="77777777" w:rsidR="00541DE7" w:rsidRPr="00B12B93" w:rsidRDefault="00541DE7" w:rsidP="004B3D3B">
            <w:pPr>
              <w:spacing w:after="0" w:line="240" w:lineRule="auto"/>
              <w:rPr>
                <w:rFonts w:ascii="Arial" w:eastAsia="Times New Roman" w:hAnsi="Arial" w:cs="Arial"/>
                <w:sz w:val="24"/>
                <w:szCs w:val="24"/>
                <w:lang w:eastAsia="en-GB"/>
              </w:rPr>
            </w:pPr>
          </w:p>
          <w:p w14:paraId="005AE19E" w14:textId="77777777" w:rsidR="00541DE7" w:rsidRPr="00B12B93" w:rsidRDefault="00541DE7" w:rsidP="004B3D3B">
            <w:pPr>
              <w:spacing w:after="0" w:line="240" w:lineRule="auto"/>
              <w:rPr>
                <w:rFonts w:ascii="Arial" w:eastAsia="Times New Roman" w:hAnsi="Arial" w:cs="Arial"/>
                <w:sz w:val="24"/>
                <w:szCs w:val="24"/>
                <w:lang w:eastAsia="en-GB"/>
              </w:rPr>
            </w:pPr>
          </w:p>
          <w:p w14:paraId="398E0C91" w14:textId="77777777" w:rsidR="00541DE7" w:rsidRPr="00B12B93" w:rsidRDefault="00541DE7" w:rsidP="004B3D3B">
            <w:pPr>
              <w:spacing w:after="0" w:line="240" w:lineRule="auto"/>
              <w:rPr>
                <w:rFonts w:ascii="Arial" w:eastAsia="Times New Roman" w:hAnsi="Arial" w:cs="Arial"/>
                <w:sz w:val="24"/>
                <w:szCs w:val="24"/>
                <w:lang w:eastAsia="en-GB"/>
              </w:rPr>
            </w:pPr>
          </w:p>
          <w:p w14:paraId="1984E9ED" w14:textId="77777777" w:rsidR="00541DE7" w:rsidRPr="00B12B93" w:rsidRDefault="00541DE7" w:rsidP="004B3D3B">
            <w:pPr>
              <w:spacing w:after="0" w:line="240" w:lineRule="auto"/>
              <w:rPr>
                <w:rFonts w:ascii="Arial" w:eastAsia="Times New Roman" w:hAnsi="Arial" w:cs="Arial"/>
                <w:sz w:val="24"/>
                <w:szCs w:val="24"/>
                <w:lang w:eastAsia="en-GB"/>
              </w:rPr>
            </w:pPr>
          </w:p>
          <w:p w14:paraId="1B0EE365" w14:textId="77777777" w:rsidR="00541DE7" w:rsidRPr="00B12B93" w:rsidRDefault="00541DE7" w:rsidP="004B3D3B">
            <w:pPr>
              <w:spacing w:after="0" w:line="240" w:lineRule="auto"/>
              <w:rPr>
                <w:rFonts w:ascii="Arial" w:eastAsia="Times New Roman" w:hAnsi="Arial" w:cs="Arial"/>
                <w:sz w:val="24"/>
                <w:szCs w:val="24"/>
                <w:lang w:eastAsia="en-GB"/>
              </w:rPr>
            </w:pPr>
          </w:p>
          <w:p w14:paraId="2536594F" w14:textId="77777777" w:rsidR="00541DE7" w:rsidRPr="00B12B93" w:rsidRDefault="00541DE7" w:rsidP="004B3D3B">
            <w:pPr>
              <w:spacing w:after="0" w:line="240" w:lineRule="auto"/>
              <w:rPr>
                <w:rFonts w:ascii="Arial" w:eastAsia="Times New Roman" w:hAnsi="Arial" w:cs="Arial"/>
                <w:sz w:val="24"/>
                <w:szCs w:val="24"/>
                <w:lang w:eastAsia="en-GB"/>
              </w:rPr>
            </w:pPr>
          </w:p>
          <w:p w14:paraId="310CE758" w14:textId="77777777" w:rsidR="00541DE7" w:rsidRPr="00B12B93" w:rsidRDefault="00541DE7" w:rsidP="004B3D3B">
            <w:pPr>
              <w:spacing w:after="0" w:line="240" w:lineRule="auto"/>
              <w:rPr>
                <w:rFonts w:ascii="Arial" w:eastAsia="Times New Roman" w:hAnsi="Arial" w:cs="Arial"/>
                <w:sz w:val="24"/>
                <w:szCs w:val="24"/>
                <w:lang w:eastAsia="en-GB"/>
              </w:rPr>
            </w:pPr>
          </w:p>
          <w:p w14:paraId="5713E4EC" w14:textId="77777777" w:rsidR="00541DE7" w:rsidRPr="00B12B93" w:rsidRDefault="00541DE7" w:rsidP="004B3D3B">
            <w:pPr>
              <w:spacing w:after="0" w:line="240" w:lineRule="auto"/>
              <w:rPr>
                <w:rFonts w:ascii="Arial" w:eastAsia="Times New Roman" w:hAnsi="Arial" w:cs="Arial"/>
                <w:sz w:val="24"/>
                <w:szCs w:val="24"/>
                <w:lang w:eastAsia="en-GB"/>
              </w:rPr>
            </w:pPr>
          </w:p>
          <w:p w14:paraId="3142164A" w14:textId="77777777" w:rsidR="00541DE7" w:rsidRPr="00B12B93" w:rsidRDefault="00541DE7" w:rsidP="004B3D3B">
            <w:pPr>
              <w:spacing w:after="0" w:line="240" w:lineRule="auto"/>
              <w:rPr>
                <w:rFonts w:ascii="Arial" w:eastAsia="Times New Roman" w:hAnsi="Arial" w:cs="Arial"/>
                <w:sz w:val="24"/>
                <w:szCs w:val="24"/>
                <w:lang w:eastAsia="en-GB"/>
              </w:rPr>
            </w:pPr>
          </w:p>
          <w:p w14:paraId="4F5DE594" w14:textId="77777777" w:rsidR="00541DE7" w:rsidRPr="00B12B93" w:rsidRDefault="00541DE7" w:rsidP="004B3D3B">
            <w:pPr>
              <w:spacing w:after="0" w:line="240" w:lineRule="auto"/>
              <w:rPr>
                <w:rFonts w:ascii="Arial" w:eastAsia="Times New Roman" w:hAnsi="Arial" w:cs="Arial"/>
                <w:sz w:val="24"/>
                <w:szCs w:val="24"/>
                <w:lang w:eastAsia="en-GB"/>
              </w:rPr>
            </w:pPr>
          </w:p>
          <w:p w14:paraId="603D50A8" w14:textId="77777777" w:rsidR="00541DE7" w:rsidRPr="00B12B93" w:rsidRDefault="00541DE7" w:rsidP="004B3D3B">
            <w:pPr>
              <w:spacing w:after="0" w:line="240" w:lineRule="auto"/>
              <w:rPr>
                <w:rFonts w:ascii="Arial" w:eastAsia="Times New Roman" w:hAnsi="Arial" w:cs="Arial"/>
                <w:sz w:val="24"/>
                <w:szCs w:val="24"/>
                <w:lang w:eastAsia="en-GB"/>
              </w:rPr>
            </w:pPr>
          </w:p>
          <w:p w14:paraId="2B4C1A78" w14:textId="77777777" w:rsidR="00541DE7" w:rsidRPr="00B12B93" w:rsidRDefault="00541DE7" w:rsidP="004B3D3B">
            <w:pPr>
              <w:spacing w:after="0" w:line="240" w:lineRule="auto"/>
              <w:rPr>
                <w:rFonts w:ascii="Arial" w:eastAsia="Times New Roman" w:hAnsi="Arial" w:cs="Arial"/>
                <w:sz w:val="24"/>
                <w:szCs w:val="24"/>
                <w:lang w:eastAsia="en-GB"/>
              </w:rPr>
            </w:pPr>
          </w:p>
          <w:p w14:paraId="21A0347A" w14:textId="77777777" w:rsidR="00541DE7" w:rsidRPr="00B12B93" w:rsidRDefault="00541DE7" w:rsidP="004B3D3B">
            <w:pPr>
              <w:spacing w:after="0" w:line="240" w:lineRule="auto"/>
              <w:rPr>
                <w:rFonts w:ascii="Arial" w:eastAsia="Times New Roman" w:hAnsi="Arial" w:cs="Arial"/>
                <w:sz w:val="24"/>
                <w:szCs w:val="24"/>
                <w:lang w:eastAsia="en-GB"/>
              </w:rPr>
            </w:pPr>
          </w:p>
          <w:p w14:paraId="1A09FFB8" w14:textId="77777777" w:rsidR="00541DE7" w:rsidRPr="00B12B93" w:rsidRDefault="00541DE7" w:rsidP="004B3D3B">
            <w:pPr>
              <w:spacing w:after="0" w:line="240" w:lineRule="auto"/>
              <w:rPr>
                <w:rFonts w:ascii="Arial" w:eastAsia="Times New Roman" w:hAnsi="Arial" w:cs="Arial"/>
                <w:sz w:val="24"/>
                <w:szCs w:val="24"/>
                <w:lang w:eastAsia="en-GB"/>
              </w:rPr>
            </w:pPr>
          </w:p>
          <w:p w14:paraId="0CA3EFB1" w14:textId="77777777" w:rsidR="00541DE7" w:rsidRPr="00B12B93" w:rsidRDefault="00541DE7" w:rsidP="004B3D3B">
            <w:pPr>
              <w:spacing w:after="0" w:line="240" w:lineRule="auto"/>
              <w:rPr>
                <w:rFonts w:ascii="Arial" w:eastAsia="Times New Roman" w:hAnsi="Arial" w:cs="Arial"/>
                <w:sz w:val="24"/>
                <w:szCs w:val="24"/>
                <w:lang w:eastAsia="en-GB"/>
              </w:rPr>
            </w:pPr>
          </w:p>
          <w:p w14:paraId="082F1579" w14:textId="77777777" w:rsidR="00541DE7" w:rsidRPr="00B12B93" w:rsidRDefault="00541DE7" w:rsidP="004B3D3B">
            <w:pPr>
              <w:spacing w:after="0" w:line="240" w:lineRule="auto"/>
              <w:rPr>
                <w:rFonts w:ascii="Arial" w:eastAsia="Times New Roman" w:hAnsi="Arial" w:cs="Arial"/>
                <w:sz w:val="24"/>
                <w:szCs w:val="24"/>
                <w:lang w:eastAsia="en-GB"/>
              </w:rPr>
            </w:pPr>
          </w:p>
          <w:p w14:paraId="115770F7" w14:textId="77777777" w:rsidR="00541DE7" w:rsidRPr="00B12B93" w:rsidRDefault="00541DE7" w:rsidP="004B3D3B">
            <w:pPr>
              <w:spacing w:after="0" w:line="240" w:lineRule="auto"/>
              <w:rPr>
                <w:rFonts w:ascii="Arial" w:eastAsia="Times New Roman" w:hAnsi="Arial" w:cs="Arial"/>
                <w:sz w:val="24"/>
                <w:szCs w:val="24"/>
                <w:lang w:eastAsia="en-GB"/>
              </w:rPr>
            </w:pPr>
          </w:p>
          <w:p w14:paraId="62957B6F" w14:textId="77777777" w:rsidR="00541DE7" w:rsidRPr="00B12B93" w:rsidRDefault="00541DE7" w:rsidP="004B3D3B">
            <w:pPr>
              <w:spacing w:after="0" w:line="240" w:lineRule="auto"/>
              <w:rPr>
                <w:rFonts w:ascii="Arial" w:eastAsia="Times New Roman" w:hAnsi="Arial" w:cs="Arial"/>
                <w:sz w:val="24"/>
                <w:szCs w:val="24"/>
                <w:lang w:eastAsia="en-GB"/>
              </w:rPr>
            </w:pPr>
          </w:p>
          <w:p w14:paraId="1BAD4B03" w14:textId="77777777" w:rsidR="00541DE7" w:rsidRPr="00B12B93" w:rsidRDefault="00541DE7" w:rsidP="004B3D3B">
            <w:pPr>
              <w:spacing w:after="0" w:line="240" w:lineRule="auto"/>
              <w:rPr>
                <w:rFonts w:ascii="Arial" w:eastAsia="Times New Roman" w:hAnsi="Arial" w:cs="Arial"/>
                <w:sz w:val="24"/>
                <w:szCs w:val="24"/>
                <w:lang w:eastAsia="en-GB"/>
              </w:rPr>
            </w:pPr>
          </w:p>
          <w:p w14:paraId="622364F7" w14:textId="77777777" w:rsidR="00541DE7" w:rsidRPr="00B12B93" w:rsidRDefault="00541DE7" w:rsidP="004B3D3B">
            <w:pPr>
              <w:spacing w:after="0" w:line="240" w:lineRule="auto"/>
              <w:rPr>
                <w:rFonts w:ascii="Arial" w:eastAsia="Times New Roman" w:hAnsi="Arial" w:cs="Arial"/>
                <w:sz w:val="24"/>
                <w:szCs w:val="24"/>
                <w:lang w:eastAsia="en-GB"/>
              </w:rPr>
            </w:pPr>
          </w:p>
          <w:p w14:paraId="02E53E63" w14:textId="77777777" w:rsidR="00541DE7" w:rsidRPr="00B12B93" w:rsidRDefault="00541DE7" w:rsidP="004B3D3B">
            <w:pPr>
              <w:spacing w:after="0" w:line="240" w:lineRule="auto"/>
              <w:rPr>
                <w:rFonts w:ascii="Arial" w:eastAsia="Times New Roman" w:hAnsi="Arial" w:cs="Arial"/>
                <w:sz w:val="24"/>
                <w:szCs w:val="24"/>
                <w:lang w:eastAsia="en-GB"/>
              </w:rPr>
            </w:pPr>
          </w:p>
          <w:p w14:paraId="2F970999" w14:textId="77777777" w:rsidR="00541DE7" w:rsidRPr="00B12B93" w:rsidRDefault="00541DE7" w:rsidP="004B3D3B">
            <w:pPr>
              <w:spacing w:after="0" w:line="240" w:lineRule="auto"/>
              <w:rPr>
                <w:rFonts w:ascii="Arial" w:eastAsia="Times New Roman" w:hAnsi="Arial" w:cs="Arial"/>
                <w:sz w:val="24"/>
                <w:szCs w:val="24"/>
                <w:lang w:eastAsia="en-GB"/>
              </w:rPr>
            </w:pPr>
          </w:p>
          <w:p w14:paraId="5057FDD0" w14:textId="77777777" w:rsidR="00541DE7" w:rsidRPr="00B12B93" w:rsidRDefault="00541DE7" w:rsidP="004B3D3B">
            <w:pPr>
              <w:spacing w:after="0" w:line="240" w:lineRule="auto"/>
              <w:rPr>
                <w:rFonts w:ascii="Arial" w:eastAsia="Times New Roman" w:hAnsi="Arial" w:cs="Arial"/>
                <w:sz w:val="24"/>
                <w:szCs w:val="24"/>
                <w:lang w:eastAsia="en-GB"/>
              </w:rPr>
            </w:pPr>
          </w:p>
          <w:p w14:paraId="5AB0ED20" w14:textId="77777777" w:rsidR="00541DE7" w:rsidRPr="00B12B93" w:rsidRDefault="00541DE7" w:rsidP="004B3D3B">
            <w:pPr>
              <w:spacing w:after="0" w:line="240" w:lineRule="auto"/>
              <w:rPr>
                <w:rFonts w:ascii="Arial" w:eastAsia="Times New Roman" w:hAnsi="Arial" w:cs="Arial"/>
                <w:sz w:val="24"/>
                <w:szCs w:val="24"/>
                <w:lang w:eastAsia="en-GB"/>
              </w:rPr>
            </w:pPr>
          </w:p>
          <w:p w14:paraId="5085D94A" w14:textId="77777777" w:rsidR="00541DE7" w:rsidRPr="00B12B93" w:rsidRDefault="00541DE7" w:rsidP="004B3D3B">
            <w:pPr>
              <w:spacing w:after="0" w:line="240" w:lineRule="auto"/>
              <w:rPr>
                <w:rFonts w:ascii="Arial" w:eastAsia="Times New Roman" w:hAnsi="Arial" w:cs="Arial"/>
                <w:sz w:val="24"/>
                <w:szCs w:val="24"/>
                <w:lang w:eastAsia="en-GB"/>
              </w:rPr>
            </w:pPr>
          </w:p>
          <w:p w14:paraId="39EDBE9B" w14:textId="77777777" w:rsidR="00541DE7" w:rsidRPr="00B12B93" w:rsidRDefault="00541DE7" w:rsidP="004B3D3B">
            <w:pPr>
              <w:spacing w:after="0" w:line="240" w:lineRule="auto"/>
              <w:rPr>
                <w:rFonts w:ascii="Arial" w:eastAsia="Times New Roman" w:hAnsi="Arial" w:cs="Arial"/>
                <w:sz w:val="24"/>
                <w:szCs w:val="24"/>
                <w:lang w:eastAsia="en-GB"/>
              </w:rPr>
            </w:pPr>
          </w:p>
          <w:p w14:paraId="70B6082A" w14:textId="77777777" w:rsidR="00541DE7" w:rsidRPr="00B12B93" w:rsidRDefault="00541DE7" w:rsidP="004B3D3B">
            <w:pPr>
              <w:spacing w:after="0" w:line="240" w:lineRule="auto"/>
              <w:rPr>
                <w:rFonts w:ascii="Arial" w:eastAsia="Times New Roman" w:hAnsi="Arial" w:cs="Arial"/>
                <w:sz w:val="24"/>
                <w:szCs w:val="24"/>
                <w:lang w:eastAsia="en-GB"/>
              </w:rPr>
            </w:pPr>
          </w:p>
          <w:p w14:paraId="12641485" w14:textId="77777777" w:rsidR="00541DE7" w:rsidRPr="00B12B93" w:rsidRDefault="00541DE7" w:rsidP="004B3D3B">
            <w:pPr>
              <w:spacing w:after="0" w:line="240" w:lineRule="auto"/>
              <w:rPr>
                <w:rFonts w:ascii="Arial" w:eastAsia="Times New Roman" w:hAnsi="Arial" w:cs="Arial"/>
                <w:sz w:val="24"/>
                <w:szCs w:val="24"/>
                <w:lang w:eastAsia="en-GB"/>
              </w:rPr>
            </w:pPr>
          </w:p>
          <w:p w14:paraId="2473DD1A" w14:textId="77777777" w:rsidR="00541DE7" w:rsidRPr="00B12B93" w:rsidRDefault="00541DE7" w:rsidP="004B3D3B">
            <w:pPr>
              <w:spacing w:after="0" w:line="240" w:lineRule="auto"/>
              <w:rPr>
                <w:rFonts w:ascii="Arial" w:eastAsia="Times New Roman" w:hAnsi="Arial" w:cs="Arial"/>
                <w:sz w:val="24"/>
                <w:szCs w:val="24"/>
                <w:lang w:eastAsia="en-GB"/>
              </w:rPr>
            </w:pPr>
          </w:p>
          <w:p w14:paraId="0BF5FD6C" w14:textId="77777777" w:rsidR="00541DE7" w:rsidRPr="00B12B93" w:rsidRDefault="00541DE7" w:rsidP="004B3D3B">
            <w:pPr>
              <w:spacing w:after="0" w:line="240" w:lineRule="auto"/>
              <w:rPr>
                <w:rFonts w:ascii="Arial" w:eastAsia="Times New Roman" w:hAnsi="Arial" w:cs="Arial"/>
                <w:sz w:val="24"/>
                <w:szCs w:val="24"/>
                <w:lang w:eastAsia="en-GB"/>
              </w:rPr>
            </w:pPr>
          </w:p>
          <w:p w14:paraId="7707DCF1" w14:textId="77777777" w:rsidR="00541DE7" w:rsidRPr="00B12B93" w:rsidRDefault="00541DE7" w:rsidP="004B3D3B">
            <w:pPr>
              <w:spacing w:after="0" w:line="240" w:lineRule="auto"/>
              <w:rPr>
                <w:rFonts w:ascii="Arial" w:eastAsia="Times New Roman" w:hAnsi="Arial" w:cs="Arial"/>
                <w:sz w:val="24"/>
                <w:szCs w:val="24"/>
                <w:lang w:eastAsia="en-GB"/>
              </w:rPr>
            </w:pPr>
          </w:p>
          <w:p w14:paraId="03B3F90C" w14:textId="77777777" w:rsidR="00541DE7" w:rsidRPr="00B12B93" w:rsidRDefault="00541DE7" w:rsidP="004B3D3B">
            <w:pPr>
              <w:spacing w:after="0" w:line="240" w:lineRule="auto"/>
              <w:rPr>
                <w:rFonts w:ascii="Arial" w:eastAsia="Times New Roman" w:hAnsi="Arial" w:cs="Arial"/>
                <w:sz w:val="24"/>
                <w:szCs w:val="24"/>
                <w:lang w:eastAsia="en-GB"/>
              </w:rPr>
            </w:pPr>
          </w:p>
          <w:p w14:paraId="2A65FFA0" w14:textId="77777777" w:rsidR="00541DE7" w:rsidRPr="00B12B93" w:rsidRDefault="00541DE7" w:rsidP="004B3D3B">
            <w:pPr>
              <w:spacing w:after="0" w:line="240" w:lineRule="auto"/>
              <w:rPr>
                <w:rFonts w:ascii="Arial" w:eastAsia="Times New Roman" w:hAnsi="Arial" w:cs="Arial"/>
                <w:sz w:val="24"/>
                <w:szCs w:val="24"/>
                <w:lang w:eastAsia="en-GB"/>
              </w:rPr>
            </w:pPr>
          </w:p>
          <w:p w14:paraId="260C74CB" w14:textId="77777777" w:rsidR="00541DE7" w:rsidRPr="00B12B93" w:rsidRDefault="00541DE7" w:rsidP="004B3D3B">
            <w:pPr>
              <w:spacing w:after="0" w:line="240" w:lineRule="auto"/>
              <w:rPr>
                <w:rFonts w:ascii="Arial" w:eastAsia="Times New Roman" w:hAnsi="Arial" w:cs="Arial"/>
                <w:sz w:val="24"/>
                <w:szCs w:val="24"/>
                <w:lang w:eastAsia="en-GB"/>
              </w:rPr>
            </w:pPr>
          </w:p>
          <w:p w14:paraId="46E95727" w14:textId="77777777" w:rsidR="00541DE7" w:rsidRPr="00B12B93" w:rsidRDefault="00541DE7" w:rsidP="004B3D3B">
            <w:pPr>
              <w:spacing w:after="0" w:line="240" w:lineRule="auto"/>
              <w:rPr>
                <w:rFonts w:ascii="Arial" w:eastAsia="Times New Roman" w:hAnsi="Arial" w:cs="Arial"/>
                <w:sz w:val="24"/>
                <w:szCs w:val="24"/>
                <w:lang w:eastAsia="en-GB"/>
              </w:rPr>
            </w:pPr>
          </w:p>
          <w:p w14:paraId="00C150FB" w14:textId="77777777" w:rsidR="00541DE7" w:rsidRPr="00B12B93" w:rsidRDefault="00541DE7" w:rsidP="004B3D3B">
            <w:pPr>
              <w:spacing w:after="0" w:line="240" w:lineRule="auto"/>
              <w:rPr>
                <w:rFonts w:ascii="Arial" w:eastAsia="Times New Roman" w:hAnsi="Arial" w:cs="Arial"/>
                <w:sz w:val="24"/>
                <w:szCs w:val="24"/>
                <w:lang w:eastAsia="en-GB"/>
              </w:rPr>
            </w:pPr>
          </w:p>
        </w:tc>
      </w:tr>
      <w:tr w:rsidR="00541DE7" w:rsidRPr="00EB38B7" w14:paraId="1D784FE6" w14:textId="77777777" w:rsidTr="00587EE5">
        <w:trPr>
          <w:cantSplit/>
          <w:trHeight w:val="926"/>
        </w:trPr>
        <w:tc>
          <w:tcPr>
            <w:tcW w:w="2930" w:type="dxa"/>
            <w:vMerge w:val="restart"/>
            <w:tcBorders>
              <w:top w:val="single" w:sz="4" w:space="0" w:color="auto"/>
              <w:left w:val="single" w:sz="4" w:space="0" w:color="auto"/>
              <w:right w:val="single" w:sz="4" w:space="0" w:color="auto"/>
            </w:tcBorders>
            <w:hideMark/>
          </w:tcPr>
          <w:p w14:paraId="768669A6" w14:textId="77777777" w:rsidR="00541DE7" w:rsidRPr="00EB38B7" w:rsidRDefault="00541DE7" w:rsidP="004B3D3B">
            <w:pPr>
              <w:spacing w:after="0" w:line="240" w:lineRule="auto"/>
              <w:rPr>
                <w:rFonts w:ascii="Arial" w:eastAsia="Times New Roman" w:hAnsi="Arial" w:cs="Arial"/>
                <w:b/>
                <w:bCs/>
                <w:sz w:val="14"/>
                <w:szCs w:val="14"/>
                <w:lang w:eastAsia="en-GB"/>
              </w:rPr>
            </w:pPr>
          </w:p>
          <w:p w14:paraId="1D8FF2E4" w14:textId="77777777" w:rsidR="00541DE7" w:rsidRPr="00E9073B" w:rsidRDefault="00541DE7" w:rsidP="004B3D3B">
            <w:pPr>
              <w:spacing w:after="0" w:line="240" w:lineRule="auto"/>
              <w:rPr>
                <w:rFonts w:ascii="Arial" w:eastAsia="Times New Roman" w:hAnsi="Arial" w:cs="Arial"/>
                <w:bCs/>
                <w:i/>
                <w:sz w:val="24"/>
                <w:szCs w:val="24"/>
                <w:lang w:eastAsia="en-GB"/>
              </w:rPr>
            </w:pPr>
            <w:r w:rsidRPr="00E9073B">
              <w:rPr>
                <w:rFonts w:ascii="Arial" w:eastAsia="Times New Roman" w:hAnsi="Arial" w:cs="Arial"/>
                <w:b/>
                <w:bCs/>
                <w:color w:val="005EB8"/>
                <w:sz w:val="24"/>
                <w:szCs w:val="24"/>
                <w:lang w:eastAsia="en-GB"/>
              </w:rPr>
              <w:t xml:space="preserve">Trust strategic objectives: </w:t>
            </w:r>
          </w:p>
        </w:tc>
        <w:tc>
          <w:tcPr>
            <w:tcW w:w="1376" w:type="dxa"/>
            <w:tcBorders>
              <w:top w:val="single" w:sz="4" w:space="0" w:color="auto"/>
              <w:left w:val="single" w:sz="4" w:space="0" w:color="auto"/>
              <w:bottom w:val="single" w:sz="4" w:space="0" w:color="auto"/>
              <w:right w:val="single" w:sz="4" w:space="0" w:color="auto"/>
            </w:tcBorders>
          </w:tcPr>
          <w:p w14:paraId="3665CE26" w14:textId="77777777" w:rsidR="00541DE7" w:rsidRPr="00B12B93" w:rsidRDefault="00541DE7" w:rsidP="00587EE5">
            <w:pPr>
              <w:contextualSpacing/>
              <w:jc w:val="center"/>
              <w:rPr>
                <w:rFonts w:ascii="Arial" w:eastAsia="Times New Roman" w:hAnsi="Arial" w:cs="Arial"/>
                <w:i/>
                <w:color w:val="005EB8"/>
                <w:sz w:val="24"/>
                <w:lang w:eastAsia="en-GB"/>
              </w:rPr>
            </w:pPr>
            <w:r w:rsidRPr="00B12B93">
              <w:rPr>
                <w:rFonts w:ascii="Times New Roman" w:hAnsi="Times New Roman"/>
                <w:noProof/>
                <w:sz w:val="24"/>
                <w:szCs w:val="24"/>
                <w:lang w:eastAsia="en-GB"/>
              </w:rPr>
              <w:drawing>
                <wp:anchor distT="36576" distB="36576" distL="36576" distR="36576" simplePos="0" relativeHeight="251659264" behindDoc="0" locked="0" layoutInCell="1" allowOverlap="1" wp14:anchorId="0C8EC5B0" wp14:editId="3398AF04">
                  <wp:simplePos x="0" y="0"/>
                  <wp:positionH relativeFrom="column">
                    <wp:posOffset>103860</wp:posOffset>
                  </wp:positionH>
                  <wp:positionV relativeFrom="paragraph">
                    <wp:posOffset>38912</wp:posOffset>
                  </wp:positionV>
                  <wp:extent cx="547173" cy="555955"/>
                  <wp:effectExtent l="0" t="0" r="5715" b="0"/>
                  <wp:wrapNone/>
                  <wp:docPr id="7" name="Picture 7" descr="Princess Alexandra_strap line blocks NHS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cess Alexandra_strap line blocks NHS blu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l="-1004" t="-3951" r="80655" b="36234"/>
                          <a:stretch>
                            <a:fillRect/>
                          </a:stretch>
                        </pic:blipFill>
                        <pic:spPr bwMode="auto">
                          <a:xfrm>
                            <a:off x="0" y="0"/>
                            <a:ext cx="548330" cy="557131"/>
                          </a:xfrm>
                          <a:prstGeom prst="flowChartConnector">
                            <a:avLst/>
                          </a:prstGeom>
                          <a:noFill/>
                          <a:ln>
                            <a:noFill/>
                          </a:ln>
                          <a:effectLst/>
                        </pic:spPr>
                      </pic:pic>
                    </a:graphicData>
                  </a:graphic>
                  <wp14:sizeRelH relativeFrom="page">
                    <wp14:pctWidth>0</wp14:pctWidth>
                  </wp14:sizeRelH>
                  <wp14:sizeRelV relativeFrom="page">
                    <wp14:pctHeight>0</wp14:pctHeight>
                  </wp14:sizeRelV>
                </wp:anchor>
              </w:drawing>
            </w:r>
          </w:p>
          <w:p w14:paraId="7AA25FEB" w14:textId="77777777" w:rsidR="00541DE7" w:rsidRPr="00B12B93" w:rsidRDefault="00541DE7" w:rsidP="00587EE5">
            <w:pPr>
              <w:contextualSpacing/>
              <w:jc w:val="center"/>
              <w:rPr>
                <w:rFonts w:ascii="Arial" w:eastAsia="Times New Roman" w:hAnsi="Arial" w:cs="Arial"/>
                <w:color w:val="005EB8"/>
                <w:sz w:val="24"/>
                <w:lang w:eastAsia="en-GB"/>
              </w:rPr>
            </w:pPr>
          </w:p>
          <w:p w14:paraId="4246AB97" w14:textId="77777777" w:rsidR="00541DE7" w:rsidRPr="00B12B93" w:rsidRDefault="00541DE7" w:rsidP="00587EE5">
            <w:pPr>
              <w:contextualSpacing/>
              <w:jc w:val="center"/>
              <w:rPr>
                <w:rFonts w:ascii="Arial" w:eastAsia="Times New Roman" w:hAnsi="Arial" w:cs="Arial"/>
                <w:color w:val="005EB8"/>
                <w:sz w:val="24"/>
                <w:lang w:eastAsia="en-GB"/>
              </w:rPr>
            </w:pPr>
          </w:p>
          <w:p w14:paraId="2C318504"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Patients</w:t>
            </w:r>
          </w:p>
        </w:tc>
        <w:tc>
          <w:tcPr>
            <w:tcW w:w="1513" w:type="dxa"/>
            <w:gridSpan w:val="2"/>
            <w:tcBorders>
              <w:top w:val="single" w:sz="4" w:space="0" w:color="auto"/>
              <w:left w:val="single" w:sz="4" w:space="0" w:color="auto"/>
              <w:bottom w:val="single" w:sz="4" w:space="0" w:color="auto"/>
              <w:right w:val="single" w:sz="4" w:space="0" w:color="auto"/>
            </w:tcBorders>
          </w:tcPr>
          <w:p w14:paraId="02C8B709" w14:textId="77777777" w:rsidR="00541DE7" w:rsidRPr="00B12B93" w:rsidRDefault="00541DE7" w:rsidP="00587EE5">
            <w:pPr>
              <w:contextualSpacing/>
              <w:jc w:val="center"/>
              <w:rPr>
                <w:rFonts w:ascii="Arial" w:eastAsia="Times New Roman" w:hAnsi="Arial" w:cs="Arial"/>
                <w:iCs/>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1312" behindDoc="0" locked="0" layoutInCell="1" allowOverlap="1" wp14:anchorId="04AFDC6A" wp14:editId="2F8C4751">
                  <wp:simplePos x="0" y="0"/>
                  <wp:positionH relativeFrom="column">
                    <wp:posOffset>157480</wp:posOffset>
                  </wp:positionH>
                  <wp:positionV relativeFrom="paragraph">
                    <wp:posOffset>51435</wp:posOffset>
                  </wp:positionV>
                  <wp:extent cx="542925" cy="526919"/>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26919"/>
                          </a:xfrm>
                          <a:prstGeom prst="rect">
                            <a:avLst/>
                          </a:prstGeom>
                          <a:noFill/>
                        </pic:spPr>
                      </pic:pic>
                    </a:graphicData>
                  </a:graphic>
                  <wp14:sizeRelH relativeFrom="page">
                    <wp14:pctWidth>0</wp14:pctWidth>
                  </wp14:sizeRelH>
                  <wp14:sizeRelV relativeFrom="page">
                    <wp14:pctHeight>0</wp14:pctHeight>
                  </wp14:sizeRelV>
                </wp:anchor>
              </w:drawing>
            </w:r>
          </w:p>
          <w:p w14:paraId="692279CE" w14:textId="77777777" w:rsidR="00541DE7" w:rsidRPr="00B12B93" w:rsidRDefault="00541DE7" w:rsidP="00587EE5">
            <w:pPr>
              <w:contextualSpacing/>
              <w:jc w:val="center"/>
              <w:rPr>
                <w:rFonts w:ascii="Arial" w:eastAsia="Times New Roman" w:hAnsi="Arial" w:cs="Arial"/>
                <w:b/>
                <w:iCs/>
                <w:color w:val="005EB8"/>
                <w:sz w:val="24"/>
                <w:lang w:eastAsia="en-GB"/>
              </w:rPr>
            </w:pPr>
            <w:r w:rsidRPr="00B12B93">
              <w:rPr>
                <w:rFonts w:ascii="Arial" w:eastAsia="Times New Roman" w:hAnsi="Arial" w:cs="Arial"/>
                <w:iCs/>
                <w:color w:val="005EB8"/>
                <w:sz w:val="24"/>
                <w:lang w:eastAsia="en-GB"/>
              </w:rPr>
              <w:br/>
            </w:r>
            <w:r w:rsidRPr="00B12B93">
              <w:rPr>
                <w:rFonts w:ascii="Arial" w:eastAsia="Times New Roman" w:hAnsi="Arial" w:cs="Arial"/>
                <w:iCs/>
                <w:color w:val="005EB8"/>
                <w:sz w:val="24"/>
                <w:lang w:eastAsia="en-GB"/>
              </w:rPr>
              <w:br/>
            </w:r>
            <w:r w:rsidRPr="00B12B93">
              <w:rPr>
                <w:rFonts w:ascii="Arial" w:eastAsia="Times New Roman" w:hAnsi="Arial" w:cs="Arial"/>
                <w:b/>
                <w:iCs/>
                <w:color w:val="005EB8"/>
                <w:sz w:val="24"/>
                <w:lang w:eastAsia="en-GB"/>
              </w:rPr>
              <w:t>People</w:t>
            </w:r>
          </w:p>
        </w:tc>
        <w:tc>
          <w:tcPr>
            <w:tcW w:w="1724" w:type="dxa"/>
            <w:gridSpan w:val="3"/>
            <w:tcBorders>
              <w:top w:val="single" w:sz="4" w:space="0" w:color="auto"/>
              <w:left w:val="single" w:sz="4" w:space="0" w:color="auto"/>
              <w:bottom w:val="single" w:sz="4" w:space="0" w:color="auto"/>
              <w:right w:val="single" w:sz="4" w:space="0" w:color="auto"/>
            </w:tcBorders>
          </w:tcPr>
          <w:p w14:paraId="6AA7D41D" w14:textId="77777777" w:rsidR="00541DE7" w:rsidRPr="00B12B93" w:rsidRDefault="00541DE7" w:rsidP="00587EE5">
            <w:pPr>
              <w:contextualSpacing/>
              <w:jc w:val="center"/>
              <w:rPr>
                <w:rFonts w:ascii="Arial" w:eastAsia="Times New Roman" w:hAnsi="Arial" w:cs="Arial"/>
                <w:noProof/>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2336" behindDoc="0" locked="0" layoutInCell="1" allowOverlap="1" wp14:anchorId="5B6BC41F" wp14:editId="504FBDD1">
                  <wp:simplePos x="0" y="0"/>
                  <wp:positionH relativeFrom="column">
                    <wp:posOffset>243840</wp:posOffset>
                  </wp:positionH>
                  <wp:positionV relativeFrom="paragraph">
                    <wp:posOffset>33020</wp:posOffset>
                  </wp:positionV>
                  <wp:extent cx="552450" cy="5581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8165"/>
                          </a:xfrm>
                          <a:prstGeom prst="rect">
                            <a:avLst/>
                          </a:prstGeom>
                          <a:noFill/>
                        </pic:spPr>
                      </pic:pic>
                    </a:graphicData>
                  </a:graphic>
                  <wp14:sizeRelH relativeFrom="page">
                    <wp14:pctWidth>0</wp14:pctWidth>
                  </wp14:sizeRelH>
                  <wp14:sizeRelV relativeFrom="page">
                    <wp14:pctHeight>0</wp14:pctHeight>
                  </wp14:sizeRelV>
                </wp:anchor>
              </w:drawing>
            </w:r>
          </w:p>
          <w:p w14:paraId="43814C2E" w14:textId="77777777" w:rsidR="00541DE7" w:rsidRPr="00B12B93" w:rsidRDefault="00541DE7" w:rsidP="00587EE5">
            <w:pPr>
              <w:contextualSpacing/>
              <w:jc w:val="center"/>
              <w:rPr>
                <w:rFonts w:ascii="Arial" w:eastAsia="Times New Roman" w:hAnsi="Arial" w:cs="Arial"/>
                <w:noProof/>
                <w:color w:val="005EB8"/>
                <w:sz w:val="24"/>
                <w:lang w:eastAsia="en-GB"/>
              </w:rPr>
            </w:pPr>
          </w:p>
          <w:p w14:paraId="52544CEA" w14:textId="77777777" w:rsidR="00541DE7" w:rsidRPr="00B12B93" w:rsidRDefault="00541DE7" w:rsidP="00587EE5">
            <w:pPr>
              <w:contextualSpacing/>
              <w:jc w:val="center"/>
              <w:rPr>
                <w:rFonts w:ascii="Arial" w:eastAsia="Times New Roman" w:hAnsi="Arial" w:cs="Arial"/>
                <w:color w:val="005EB8"/>
                <w:sz w:val="24"/>
                <w:lang w:eastAsia="en-GB"/>
              </w:rPr>
            </w:pPr>
          </w:p>
          <w:p w14:paraId="07177C70" w14:textId="77777777" w:rsidR="00541DE7" w:rsidRPr="00B12B93" w:rsidRDefault="00541DE7" w:rsidP="00587EE5">
            <w:pPr>
              <w:contextualSpacing/>
              <w:jc w:val="center"/>
              <w:rPr>
                <w:rFonts w:ascii="Arial" w:eastAsia="Times New Roman" w:hAnsi="Arial" w:cs="Arial"/>
                <w:b/>
                <w:color w:val="005EB8"/>
                <w:sz w:val="24"/>
                <w:lang w:eastAsia="en-GB"/>
              </w:rPr>
            </w:pPr>
            <w:r w:rsidRPr="00B12B93">
              <w:rPr>
                <w:rFonts w:ascii="Arial" w:eastAsia="Times New Roman" w:hAnsi="Arial" w:cs="Arial"/>
                <w:b/>
                <w:color w:val="005EB8"/>
                <w:sz w:val="24"/>
                <w:lang w:eastAsia="en-GB"/>
              </w:rPr>
              <w:t>Performance</w:t>
            </w:r>
          </w:p>
        </w:tc>
        <w:tc>
          <w:tcPr>
            <w:tcW w:w="1305" w:type="dxa"/>
            <w:gridSpan w:val="3"/>
            <w:tcBorders>
              <w:top w:val="single" w:sz="4" w:space="0" w:color="auto"/>
              <w:left w:val="single" w:sz="4" w:space="0" w:color="auto"/>
              <w:bottom w:val="single" w:sz="4" w:space="0" w:color="auto"/>
              <w:right w:val="single" w:sz="4" w:space="0" w:color="auto"/>
            </w:tcBorders>
          </w:tcPr>
          <w:p w14:paraId="2B0D767B" w14:textId="77777777" w:rsidR="00541DE7" w:rsidRPr="00B12B93" w:rsidRDefault="00541DE7" w:rsidP="00587EE5">
            <w:pPr>
              <w:contextualSpacing/>
              <w:jc w:val="center"/>
              <w:rPr>
                <w:rFonts w:ascii="Arial" w:eastAsia="Times New Roman" w:hAnsi="Arial" w:cs="Arial"/>
                <w:color w:val="005EB8"/>
                <w:sz w:val="24"/>
                <w:lang w:eastAsia="en-GB"/>
              </w:rPr>
            </w:pPr>
            <w:r w:rsidRPr="00B12B93">
              <w:rPr>
                <w:rFonts w:ascii="Arial" w:eastAsia="Times New Roman" w:hAnsi="Arial" w:cs="Arial"/>
                <w:bCs/>
                <w:noProof/>
                <w:sz w:val="18"/>
                <w:szCs w:val="18"/>
                <w:lang w:eastAsia="en-GB"/>
              </w:rPr>
              <w:drawing>
                <wp:anchor distT="0" distB="0" distL="114300" distR="114300" simplePos="0" relativeHeight="251663360" behindDoc="0" locked="0" layoutInCell="1" allowOverlap="1" wp14:anchorId="1E31CBA0" wp14:editId="775D84A6">
                  <wp:simplePos x="0" y="0"/>
                  <wp:positionH relativeFrom="column">
                    <wp:posOffset>71577</wp:posOffset>
                  </wp:positionH>
                  <wp:positionV relativeFrom="paragraph">
                    <wp:posOffset>53542</wp:posOffset>
                  </wp:positionV>
                  <wp:extent cx="541325" cy="5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973" cy="540973"/>
                          </a:xfrm>
                          <a:prstGeom prst="rect">
                            <a:avLst/>
                          </a:prstGeom>
                          <a:noFill/>
                        </pic:spPr>
                      </pic:pic>
                    </a:graphicData>
                  </a:graphic>
                  <wp14:sizeRelH relativeFrom="page">
                    <wp14:pctWidth>0</wp14:pctWidth>
                  </wp14:sizeRelH>
                  <wp14:sizeRelV relativeFrom="page">
                    <wp14:pctHeight>0</wp14:pctHeight>
                  </wp14:sizeRelV>
                </wp:anchor>
              </w:drawing>
            </w:r>
          </w:p>
          <w:p w14:paraId="3E872373" w14:textId="77777777" w:rsidR="00541DE7" w:rsidRPr="00B12B93" w:rsidRDefault="00541DE7" w:rsidP="00587EE5">
            <w:pPr>
              <w:contextualSpacing/>
              <w:jc w:val="center"/>
              <w:rPr>
                <w:rFonts w:ascii="Arial" w:eastAsia="Times New Roman" w:hAnsi="Arial" w:cs="Arial"/>
                <w:color w:val="005EB8"/>
                <w:sz w:val="24"/>
                <w:lang w:eastAsia="en-GB"/>
              </w:rPr>
            </w:pPr>
          </w:p>
          <w:p w14:paraId="6167D9A7" w14:textId="77777777" w:rsidR="00541DE7" w:rsidRPr="00B12B93" w:rsidRDefault="00541DE7" w:rsidP="00587EE5">
            <w:pPr>
              <w:contextualSpacing/>
              <w:jc w:val="center"/>
              <w:rPr>
                <w:rFonts w:ascii="Arial" w:eastAsia="Times New Roman" w:hAnsi="Arial" w:cs="Arial"/>
                <w:color w:val="005EB8"/>
                <w:sz w:val="24"/>
                <w:lang w:eastAsia="en-GB"/>
              </w:rPr>
            </w:pPr>
          </w:p>
          <w:p w14:paraId="6815C491"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b/>
                <w:color w:val="005EB8"/>
                <w:sz w:val="24"/>
                <w:lang w:eastAsia="en-GB"/>
              </w:rPr>
              <w:t>Places</w:t>
            </w:r>
          </w:p>
        </w:tc>
        <w:tc>
          <w:tcPr>
            <w:tcW w:w="1759" w:type="dxa"/>
            <w:gridSpan w:val="2"/>
            <w:tcBorders>
              <w:top w:val="single" w:sz="4" w:space="0" w:color="auto"/>
              <w:left w:val="single" w:sz="4" w:space="0" w:color="auto"/>
              <w:bottom w:val="single" w:sz="4" w:space="0" w:color="auto"/>
              <w:right w:val="single" w:sz="4" w:space="0" w:color="auto"/>
            </w:tcBorders>
          </w:tcPr>
          <w:p w14:paraId="2622D3E8" w14:textId="77777777" w:rsidR="00541DE7" w:rsidRPr="00B12B93" w:rsidRDefault="00541DE7" w:rsidP="00587EE5">
            <w:pPr>
              <w:contextualSpacing/>
              <w:jc w:val="center"/>
              <w:rPr>
                <w:rFonts w:ascii="Arial" w:eastAsia="Times New Roman" w:hAnsi="Arial" w:cs="Arial"/>
                <w:color w:val="005EB8"/>
                <w:sz w:val="24"/>
                <w:lang w:eastAsia="en-GB"/>
              </w:rPr>
            </w:pPr>
            <w:r w:rsidRPr="00B12B93">
              <w:rPr>
                <w:rFonts w:ascii="Arial" w:eastAsia="Times New Roman" w:hAnsi="Arial" w:cs="Arial"/>
                <w:noProof/>
                <w:sz w:val="24"/>
                <w:szCs w:val="24"/>
                <w:lang w:eastAsia="en-GB"/>
              </w:rPr>
              <w:drawing>
                <wp:anchor distT="0" distB="0" distL="114300" distR="114300" simplePos="0" relativeHeight="251665408" behindDoc="0" locked="0" layoutInCell="1" allowOverlap="1" wp14:anchorId="59B6D81A" wp14:editId="568D4AC4">
                  <wp:simplePos x="0" y="0"/>
                  <wp:positionH relativeFrom="column">
                    <wp:posOffset>211227</wp:posOffset>
                  </wp:positionH>
                  <wp:positionV relativeFrom="paragraph">
                    <wp:posOffset>37465</wp:posOffset>
                  </wp:positionV>
                  <wp:extent cx="541932" cy="551084"/>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32" cy="551084"/>
                          </a:xfrm>
                          <a:prstGeom prst="rect">
                            <a:avLst/>
                          </a:prstGeom>
                          <a:noFill/>
                        </pic:spPr>
                      </pic:pic>
                    </a:graphicData>
                  </a:graphic>
                  <wp14:sizeRelH relativeFrom="page">
                    <wp14:pctWidth>0</wp14:pctWidth>
                  </wp14:sizeRelH>
                  <wp14:sizeRelV relativeFrom="page">
                    <wp14:pctHeight>0</wp14:pctHeight>
                  </wp14:sizeRelV>
                </wp:anchor>
              </w:drawing>
            </w:r>
          </w:p>
          <w:p w14:paraId="21282DF8" w14:textId="77777777" w:rsidR="00541DE7" w:rsidRPr="00B12B93" w:rsidRDefault="00541DE7" w:rsidP="00587EE5">
            <w:pPr>
              <w:contextualSpacing/>
              <w:jc w:val="center"/>
              <w:rPr>
                <w:rFonts w:ascii="Arial" w:eastAsia="Times New Roman" w:hAnsi="Arial" w:cs="Arial"/>
                <w:b/>
                <w:i/>
                <w:color w:val="005EB8"/>
                <w:sz w:val="24"/>
                <w:lang w:eastAsia="en-GB"/>
              </w:rPr>
            </w:pPr>
            <w:r w:rsidRPr="00B12B93">
              <w:rPr>
                <w:rFonts w:ascii="Arial" w:eastAsia="Times New Roman" w:hAnsi="Arial" w:cs="Arial"/>
                <w:color w:val="005EB8"/>
                <w:sz w:val="24"/>
                <w:lang w:eastAsia="en-GB"/>
              </w:rPr>
              <w:br/>
            </w:r>
            <w:r w:rsidRPr="00B12B93">
              <w:rPr>
                <w:rFonts w:ascii="Arial" w:eastAsia="Times New Roman" w:hAnsi="Arial" w:cs="Arial"/>
                <w:color w:val="005EB8"/>
                <w:sz w:val="24"/>
                <w:lang w:eastAsia="en-GB"/>
              </w:rPr>
              <w:br/>
            </w:r>
            <w:r w:rsidRPr="00B12B93">
              <w:rPr>
                <w:rFonts w:ascii="Arial" w:eastAsia="Times New Roman" w:hAnsi="Arial" w:cs="Arial"/>
                <w:b/>
                <w:color w:val="005EB8"/>
                <w:sz w:val="24"/>
                <w:lang w:eastAsia="en-GB"/>
              </w:rPr>
              <w:t>Pounds</w:t>
            </w:r>
          </w:p>
        </w:tc>
      </w:tr>
      <w:tr w:rsidR="00541DE7" w:rsidRPr="00EB38B7" w14:paraId="250F418B" w14:textId="77777777" w:rsidTr="00587EE5">
        <w:trPr>
          <w:cantSplit/>
          <w:trHeight w:val="174"/>
        </w:trPr>
        <w:tc>
          <w:tcPr>
            <w:tcW w:w="2930" w:type="dxa"/>
            <w:vMerge/>
            <w:tcBorders>
              <w:left w:val="single" w:sz="4" w:space="0" w:color="auto"/>
              <w:bottom w:val="single" w:sz="4" w:space="0" w:color="auto"/>
              <w:right w:val="single" w:sz="4" w:space="0" w:color="auto"/>
            </w:tcBorders>
          </w:tcPr>
          <w:p w14:paraId="2B9DE500" w14:textId="77777777" w:rsidR="00541DE7" w:rsidRPr="00EB38B7" w:rsidRDefault="00541DE7" w:rsidP="004B3D3B">
            <w:pPr>
              <w:spacing w:after="0" w:line="240" w:lineRule="auto"/>
              <w:rPr>
                <w:rFonts w:ascii="Arial" w:eastAsia="Times New Roman" w:hAnsi="Arial" w:cs="Arial"/>
                <w:b/>
                <w:bCs/>
                <w:lang w:eastAsia="en-GB"/>
              </w:rPr>
            </w:pPr>
          </w:p>
        </w:tc>
        <w:tc>
          <w:tcPr>
            <w:tcW w:w="1376" w:type="dxa"/>
            <w:tcBorders>
              <w:top w:val="single" w:sz="4" w:space="0" w:color="auto"/>
              <w:left w:val="single" w:sz="4" w:space="0" w:color="auto"/>
              <w:bottom w:val="single" w:sz="4" w:space="0" w:color="auto"/>
              <w:right w:val="single" w:sz="4" w:space="0" w:color="auto"/>
            </w:tcBorders>
          </w:tcPr>
          <w:p w14:paraId="6366FE8D"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513" w:type="dxa"/>
            <w:gridSpan w:val="2"/>
            <w:tcBorders>
              <w:top w:val="single" w:sz="4" w:space="0" w:color="auto"/>
              <w:left w:val="single" w:sz="4" w:space="0" w:color="auto"/>
              <w:bottom w:val="single" w:sz="4" w:space="0" w:color="auto"/>
              <w:right w:val="single" w:sz="4" w:space="0" w:color="auto"/>
            </w:tcBorders>
          </w:tcPr>
          <w:p w14:paraId="014040F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724" w:type="dxa"/>
            <w:gridSpan w:val="3"/>
            <w:tcBorders>
              <w:top w:val="single" w:sz="4" w:space="0" w:color="auto"/>
              <w:left w:val="single" w:sz="4" w:space="0" w:color="auto"/>
              <w:bottom w:val="single" w:sz="4" w:space="0" w:color="auto"/>
              <w:right w:val="single" w:sz="4" w:space="0" w:color="auto"/>
            </w:tcBorders>
          </w:tcPr>
          <w:p w14:paraId="1909F49E"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c>
          <w:tcPr>
            <w:tcW w:w="1305" w:type="dxa"/>
            <w:gridSpan w:val="3"/>
            <w:tcBorders>
              <w:top w:val="single" w:sz="4" w:space="0" w:color="auto"/>
              <w:left w:val="single" w:sz="4" w:space="0" w:color="auto"/>
              <w:bottom w:val="single" w:sz="4" w:space="0" w:color="auto"/>
              <w:right w:val="single" w:sz="4" w:space="0" w:color="auto"/>
            </w:tcBorders>
          </w:tcPr>
          <w:p w14:paraId="2DFA088C" w14:textId="77777777" w:rsidR="00541DE7" w:rsidRPr="00B12B93" w:rsidRDefault="00541DE7" w:rsidP="004B3D3B">
            <w:pPr>
              <w:contextualSpacing/>
              <w:jc w:val="center"/>
              <w:rPr>
                <w:rFonts w:ascii="Arial" w:eastAsia="Times New Roman" w:hAnsi="Arial" w:cs="Arial"/>
                <w:iCs/>
                <w:lang w:eastAsia="en-GB"/>
              </w:rPr>
            </w:pPr>
          </w:p>
        </w:tc>
        <w:tc>
          <w:tcPr>
            <w:tcW w:w="1759" w:type="dxa"/>
            <w:gridSpan w:val="2"/>
            <w:tcBorders>
              <w:top w:val="single" w:sz="4" w:space="0" w:color="auto"/>
              <w:left w:val="single" w:sz="4" w:space="0" w:color="auto"/>
              <w:bottom w:val="single" w:sz="4" w:space="0" w:color="auto"/>
              <w:right w:val="single" w:sz="4" w:space="0" w:color="auto"/>
            </w:tcBorders>
          </w:tcPr>
          <w:p w14:paraId="6C26BC36" w14:textId="77777777" w:rsidR="00541DE7" w:rsidRPr="00B12B93" w:rsidRDefault="00541DE7" w:rsidP="004B3D3B">
            <w:pPr>
              <w:contextualSpacing/>
              <w:jc w:val="center"/>
              <w:rPr>
                <w:rFonts w:ascii="Arial" w:eastAsia="Times New Roman" w:hAnsi="Arial" w:cs="Arial"/>
                <w:iCs/>
                <w:lang w:eastAsia="en-GB"/>
              </w:rPr>
            </w:pPr>
            <w:r w:rsidRPr="00B12B93">
              <w:rPr>
                <w:rFonts w:ascii="Arial" w:eastAsia="Times New Roman" w:hAnsi="Arial" w:cs="Arial"/>
                <w:iCs/>
                <w:lang w:eastAsia="en-GB"/>
              </w:rPr>
              <w:t>x</w:t>
            </w:r>
          </w:p>
        </w:tc>
      </w:tr>
      <w:tr w:rsidR="00541DE7" w:rsidRPr="00EB38B7" w14:paraId="45CE1EE2" w14:textId="77777777" w:rsidTr="00587EE5">
        <w:trPr>
          <w:cantSplit/>
          <w:trHeight w:val="213"/>
        </w:trPr>
        <w:tc>
          <w:tcPr>
            <w:tcW w:w="2930" w:type="dxa"/>
            <w:tcBorders>
              <w:top w:val="single" w:sz="4" w:space="0" w:color="auto"/>
              <w:left w:val="nil"/>
              <w:bottom w:val="single" w:sz="4" w:space="0" w:color="auto"/>
              <w:right w:val="nil"/>
            </w:tcBorders>
          </w:tcPr>
          <w:p w14:paraId="55522C2A" w14:textId="77777777" w:rsidR="00541DE7" w:rsidRPr="00EB38B7" w:rsidRDefault="00541DE7" w:rsidP="004B3D3B">
            <w:pPr>
              <w:spacing w:after="0" w:line="240" w:lineRule="auto"/>
              <w:rPr>
                <w:rFonts w:ascii="Arial" w:eastAsia="Times New Roman" w:hAnsi="Arial" w:cs="Arial"/>
                <w:b/>
                <w:bCs/>
                <w:sz w:val="18"/>
                <w:szCs w:val="18"/>
                <w:lang w:eastAsia="en-GB"/>
              </w:rPr>
            </w:pPr>
          </w:p>
        </w:tc>
        <w:tc>
          <w:tcPr>
            <w:tcW w:w="7679" w:type="dxa"/>
            <w:gridSpan w:val="11"/>
            <w:tcBorders>
              <w:top w:val="single" w:sz="4" w:space="0" w:color="auto"/>
              <w:left w:val="nil"/>
              <w:bottom w:val="single" w:sz="4" w:space="0" w:color="auto"/>
              <w:right w:val="nil"/>
            </w:tcBorders>
          </w:tcPr>
          <w:p w14:paraId="4C7529B7" w14:textId="77777777" w:rsidR="00541DE7" w:rsidRPr="00B12B93" w:rsidRDefault="00541DE7" w:rsidP="004B3D3B">
            <w:pPr>
              <w:spacing w:after="0" w:line="240" w:lineRule="auto"/>
              <w:rPr>
                <w:rFonts w:ascii="Arial" w:eastAsia="Times New Roman" w:hAnsi="Arial" w:cs="Arial"/>
                <w:bCs/>
                <w:sz w:val="18"/>
                <w:szCs w:val="18"/>
                <w:lang w:eastAsia="en-GB"/>
              </w:rPr>
            </w:pPr>
          </w:p>
        </w:tc>
      </w:tr>
      <w:tr w:rsidR="00541DE7" w:rsidRPr="00EB38B7" w14:paraId="08080365" w14:textId="77777777" w:rsidTr="00587EE5">
        <w:trPr>
          <w:cantSplit/>
          <w:trHeight w:hRule="exact" w:val="742"/>
        </w:trPr>
        <w:tc>
          <w:tcPr>
            <w:tcW w:w="2930" w:type="dxa"/>
            <w:tcBorders>
              <w:top w:val="single" w:sz="4" w:space="0" w:color="auto"/>
              <w:left w:val="single" w:sz="4" w:space="0" w:color="auto"/>
              <w:bottom w:val="single" w:sz="4" w:space="0" w:color="auto"/>
              <w:right w:val="single" w:sz="4" w:space="0" w:color="auto"/>
            </w:tcBorders>
            <w:hideMark/>
          </w:tcPr>
          <w:p w14:paraId="0F838FEF" w14:textId="77777777" w:rsidR="00541DE7" w:rsidRPr="00E9073B" w:rsidRDefault="00541DE7" w:rsidP="004B3D3B">
            <w:pPr>
              <w:spacing w:after="0" w:line="240" w:lineRule="auto"/>
              <w:rPr>
                <w:rFonts w:ascii="Arial" w:eastAsia="Times New Roman" w:hAnsi="Arial" w:cs="Arial"/>
                <w:b/>
                <w:bCs/>
                <w:color w:val="005EB8"/>
                <w:sz w:val="24"/>
                <w:szCs w:val="18"/>
                <w:lang w:eastAsia="en-GB"/>
              </w:rPr>
            </w:pPr>
            <w:r w:rsidRPr="00E9073B">
              <w:rPr>
                <w:rFonts w:ascii="Arial" w:eastAsia="Times New Roman" w:hAnsi="Arial" w:cs="Arial"/>
                <w:b/>
                <w:bCs/>
                <w:color w:val="005EB8"/>
                <w:sz w:val="24"/>
                <w:szCs w:val="18"/>
                <w:lang w:eastAsia="en-GB"/>
              </w:rPr>
              <w:t>Previously considered by:</w:t>
            </w:r>
          </w:p>
        </w:tc>
        <w:tc>
          <w:tcPr>
            <w:tcW w:w="7679" w:type="dxa"/>
            <w:gridSpan w:val="11"/>
            <w:tcBorders>
              <w:top w:val="single" w:sz="4" w:space="0" w:color="auto"/>
              <w:left w:val="single" w:sz="4" w:space="0" w:color="auto"/>
              <w:bottom w:val="single" w:sz="4" w:space="0" w:color="auto"/>
              <w:right w:val="single" w:sz="4" w:space="0" w:color="auto"/>
            </w:tcBorders>
          </w:tcPr>
          <w:p w14:paraId="45357068" w14:textId="77777777" w:rsidR="00541DE7" w:rsidRPr="00587EE5" w:rsidRDefault="00541DE7" w:rsidP="004B3D3B">
            <w:pPr>
              <w:spacing w:after="0" w:line="240" w:lineRule="auto"/>
              <w:rPr>
                <w:rFonts w:ascii="Arial" w:eastAsia="Times New Roman" w:hAnsi="Arial" w:cs="Arial"/>
                <w:bCs/>
                <w:lang w:eastAsia="en-GB"/>
              </w:rPr>
            </w:pPr>
            <w:r w:rsidRPr="00587EE5">
              <w:rPr>
                <w:rFonts w:ascii="Arial" w:eastAsia="Times New Roman" w:hAnsi="Arial" w:cs="Arial"/>
                <w:bCs/>
                <w:lang w:eastAsia="en-GB"/>
              </w:rPr>
              <w:t>NA</w:t>
            </w:r>
          </w:p>
          <w:p w14:paraId="2E26228B" w14:textId="77777777" w:rsidR="00541DE7" w:rsidRPr="00587EE5" w:rsidRDefault="00541DE7" w:rsidP="004B3D3B">
            <w:pPr>
              <w:spacing w:after="0" w:line="240" w:lineRule="auto"/>
              <w:rPr>
                <w:rFonts w:ascii="Arial" w:eastAsia="Times New Roman" w:hAnsi="Arial" w:cs="Arial"/>
                <w:bCs/>
                <w:lang w:eastAsia="en-GB"/>
              </w:rPr>
            </w:pPr>
          </w:p>
        </w:tc>
      </w:tr>
      <w:tr w:rsidR="00541DE7" w:rsidRPr="00EB38B7" w14:paraId="7BB51E87" w14:textId="77777777" w:rsidTr="00587EE5">
        <w:trPr>
          <w:cantSplit/>
          <w:trHeight w:hRule="exact" w:val="737"/>
        </w:trPr>
        <w:tc>
          <w:tcPr>
            <w:tcW w:w="2930" w:type="dxa"/>
            <w:tcBorders>
              <w:top w:val="single" w:sz="4" w:space="0" w:color="auto"/>
              <w:left w:val="single" w:sz="4" w:space="0" w:color="auto"/>
              <w:bottom w:val="single" w:sz="4" w:space="0" w:color="auto"/>
              <w:right w:val="single" w:sz="4" w:space="0" w:color="auto"/>
            </w:tcBorders>
          </w:tcPr>
          <w:p w14:paraId="3676E573"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Risk / links with the BAF:</w:t>
            </w:r>
          </w:p>
          <w:p w14:paraId="0A4D499E"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520DE7E5" w14:textId="77777777" w:rsidR="00541DE7" w:rsidRPr="00587EE5" w:rsidRDefault="00541DE7" w:rsidP="004B3D3B">
            <w:pPr>
              <w:spacing w:after="0" w:line="240" w:lineRule="auto"/>
              <w:rPr>
                <w:rFonts w:ascii="Arial" w:eastAsia="Times New Roman" w:hAnsi="Arial" w:cs="Arial"/>
                <w:lang w:eastAsia="en-GB"/>
              </w:rPr>
            </w:pPr>
          </w:p>
          <w:p w14:paraId="7A86308D"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BAF: 2.</w:t>
            </w:r>
            <w:r w:rsidR="007F101F" w:rsidRPr="00587EE5">
              <w:rPr>
                <w:rFonts w:ascii="Arial" w:eastAsia="Times New Roman" w:hAnsi="Arial" w:cs="Arial"/>
                <w:lang w:eastAsia="en-GB"/>
              </w:rPr>
              <w:t>3</w:t>
            </w:r>
            <w:r w:rsidRPr="00587EE5">
              <w:rPr>
                <w:rFonts w:ascii="Arial" w:eastAsia="Times New Roman" w:hAnsi="Arial" w:cs="Arial"/>
                <w:lang w:eastAsia="en-GB"/>
              </w:rPr>
              <w:t xml:space="preserve"> Workforce capacity</w:t>
            </w:r>
          </w:p>
          <w:p w14:paraId="090194CD" w14:textId="77777777" w:rsidR="00541DE7" w:rsidRPr="00587EE5" w:rsidRDefault="00541DE7" w:rsidP="004B3D3B">
            <w:pPr>
              <w:spacing w:after="0" w:line="240" w:lineRule="auto"/>
              <w:rPr>
                <w:rFonts w:ascii="Arial" w:eastAsia="Times New Roman" w:hAnsi="Arial" w:cs="Arial"/>
                <w:lang w:eastAsia="en-GB"/>
              </w:rPr>
            </w:pPr>
          </w:p>
          <w:p w14:paraId="1CB62E74" w14:textId="77777777" w:rsidR="00541DE7" w:rsidRPr="00587EE5" w:rsidRDefault="00541DE7" w:rsidP="004B3D3B">
            <w:pPr>
              <w:spacing w:after="0" w:line="240" w:lineRule="auto"/>
              <w:rPr>
                <w:rFonts w:ascii="Arial" w:eastAsia="Times New Roman" w:hAnsi="Arial" w:cs="Arial"/>
                <w:lang w:eastAsia="en-GB"/>
              </w:rPr>
            </w:pPr>
          </w:p>
          <w:p w14:paraId="1420D18A" w14:textId="77777777" w:rsidR="00541DE7" w:rsidRPr="00587EE5" w:rsidRDefault="00541DE7" w:rsidP="004B3D3B">
            <w:pPr>
              <w:spacing w:after="0" w:line="240" w:lineRule="auto"/>
              <w:rPr>
                <w:rFonts w:ascii="Arial" w:eastAsia="Times New Roman" w:hAnsi="Arial" w:cs="Arial"/>
                <w:lang w:eastAsia="en-GB"/>
              </w:rPr>
            </w:pPr>
          </w:p>
          <w:p w14:paraId="4A1353DA" w14:textId="77777777" w:rsidR="00541DE7" w:rsidRPr="00587EE5" w:rsidRDefault="00541DE7" w:rsidP="004B3D3B">
            <w:pPr>
              <w:spacing w:after="0" w:line="240" w:lineRule="auto"/>
              <w:rPr>
                <w:rFonts w:ascii="Arial" w:eastAsia="Times New Roman" w:hAnsi="Arial" w:cs="Arial"/>
                <w:lang w:eastAsia="en-GB"/>
              </w:rPr>
            </w:pPr>
          </w:p>
          <w:p w14:paraId="6284BF4A" w14:textId="77777777" w:rsidR="00541DE7" w:rsidRPr="00587EE5" w:rsidRDefault="00541DE7" w:rsidP="004B3D3B">
            <w:pPr>
              <w:spacing w:after="0" w:line="240" w:lineRule="auto"/>
              <w:rPr>
                <w:rFonts w:ascii="Arial" w:eastAsia="Times New Roman" w:hAnsi="Arial" w:cs="Arial"/>
                <w:lang w:eastAsia="en-GB"/>
              </w:rPr>
            </w:pPr>
          </w:p>
          <w:p w14:paraId="19AB65B5" w14:textId="77777777" w:rsidR="00541DE7" w:rsidRPr="00587EE5" w:rsidRDefault="00541DE7" w:rsidP="004B3D3B">
            <w:pPr>
              <w:spacing w:after="0" w:line="240" w:lineRule="auto"/>
              <w:rPr>
                <w:rFonts w:ascii="Arial" w:eastAsia="Times New Roman" w:hAnsi="Arial" w:cs="Arial"/>
                <w:lang w:eastAsia="en-GB"/>
              </w:rPr>
            </w:pPr>
          </w:p>
          <w:p w14:paraId="5F6992D7" w14:textId="77777777" w:rsidR="00541DE7" w:rsidRPr="00587EE5" w:rsidRDefault="00541DE7" w:rsidP="004B3D3B">
            <w:pPr>
              <w:spacing w:after="0" w:line="240" w:lineRule="auto"/>
              <w:rPr>
                <w:rFonts w:ascii="Arial" w:eastAsia="Times New Roman" w:hAnsi="Arial" w:cs="Arial"/>
                <w:lang w:eastAsia="en-GB"/>
              </w:rPr>
            </w:pPr>
          </w:p>
          <w:p w14:paraId="703323E2" w14:textId="77777777" w:rsidR="00541DE7" w:rsidRPr="00587EE5" w:rsidRDefault="00541DE7" w:rsidP="004B3D3B">
            <w:pPr>
              <w:spacing w:after="0" w:line="240" w:lineRule="auto"/>
              <w:rPr>
                <w:rFonts w:ascii="Arial" w:eastAsia="Times New Roman" w:hAnsi="Arial" w:cs="Arial"/>
                <w:lang w:eastAsia="en-GB"/>
              </w:rPr>
            </w:pPr>
          </w:p>
          <w:p w14:paraId="74F496E0" w14:textId="77777777" w:rsidR="00541DE7" w:rsidRPr="00587EE5" w:rsidRDefault="00541DE7" w:rsidP="004B3D3B">
            <w:pPr>
              <w:spacing w:after="0" w:line="240" w:lineRule="auto"/>
              <w:rPr>
                <w:rFonts w:ascii="Arial" w:eastAsia="Times New Roman" w:hAnsi="Arial" w:cs="Arial"/>
                <w:lang w:eastAsia="en-GB"/>
              </w:rPr>
            </w:pPr>
          </w:p>
          <w:p w14:paraId="664D004A" w14:textId="77777777" w:rsidR="00541DE7" w:rsidRPr="00587EE5" w:rsidRDefault="00541DE7" w:rsidP="004B3D3B">
            <w:pPr>
              <w:spacing w:after="0" w:line="240" w:lineRule="auto"/>
              <w:rPr>
                <w:rFonts w:ascii="Arial" w:eastAsia="Times New Roman" w:hAnsi="Arial" w:cs="Arial"/>
                <w:lang w:eastAsia="en-GB"/>
              </w:rPr>
            </w:pPr>
          </w:p>
          <w:p w14:paraId="33110CE5" w14:textId="77777777" w:rsidR="00541DE7" w:rsidRPr="00587EE5" w:rsidRDefault="00541DE7" w:rsidP="004B3D3B">
            <w:pPr>
              <w:spacing w:after="0" w:line="240" w:lineRule="auto"/>
              <w:rPr>
                <w:rFonts w:ascii="Arial" w:eastAsia="Times New Roman" w:hAnsi="Arial" w:cs="Arial"/>
                <w:lang w:eastAsia="en-GB"/>
              </w:rPr>
            </w:pPr>
          </w:p>
          <w:p w14:paraId="30288A41" w14:textId="77777777" w:rsidR="00541DE7" w:rsidRPr="00587EE5" w:rsidRDefault="00541DE7" w:rsidP="004B3D3B">
            <w:pPr>
              <w:spacing w:after="0" w:line="240" w:lineRule="auto"/>
              <w:rPr>
                <w:rFonts w:ascii="Arial" w:eastAsia="Times New Roman" w:hAnsi="Arial" w:cs="Arial"/>
                <w:lang w:eastAsia="en-GB"/>
              </w:rPr>
            </w:pPr>
          </w:p>
          <w:p w14:paraId="1E4CAA05" w14:textId="77777777" w:rsidR="00541DE7" w:rsidRPr="00587EE5" w:rsidRDefault="00541DE7" w:rsidP="004B3D3B">
            <w:pPr>
              <w:spacing w:after="0" w:line="240" w:lineRule="auto"/>
              <w:rPr>
                <w:rFonts w:ascii="Arial" w:eastAsia="Times New Roman" w:hAnsi="Arial" w:cs="Arial"/>
                <w:lang w:eastAsia="en-GB"/>
              </w:rPr>
            </w:pPr>
          </w:p>
          <w:p w14:paraId="7E234373" w14:textId="77777777" w:rsidR="00541DE7" w:rsidRPr="00587EE5" w:rsidRDefault="00541DE7" w:rsidP="004B3D3B">
            <w:pPr>
              <w:spacing w:after="0" w:line="240" w:lineRule="auto"/>
              <w:rPr>
                <w:rFonts w:ascii="Arial" w:eastAsia="Times New Roman" w:hAnsi="Arial" w:cs="Arial"/>
                <w:lang w:eastAsia="en-GB"/>
              </w:rPr>
            </w:pPr>
          </w:p>
          <w:p w14:paraId="29DF977A" w14:textId="77777777" w:rsidR="00541DE7" w:rsidRPr="00587EE5" w:rsidRDefault="00541DE7" w:rsidP="004B3D3B">
            <w:pPr>
              <w:spacing w:after="0" w:line="240" w:lineRule="auto"/>
              <w:rPr>
                <w:rFonts w:ascii="Arial" w:eastAsia="Times New Roman" w:hAnsi="Arial" w:cs="Arial"/>
                <w:lang w:eastAsia="en-GB"/>
              </w:rPr>
            </w:pPr>
          </w:p>
          <w:p w14:paraId="01C2F12D" w14:textId="77777777" w:rsidR="00541DE7" w:rsidRPr="00587EE5" w:rsidRDefault="00541DE7" w:rsidP="004B3D3B">
            <w:pPr>
              <w:spacing w:after="0" w:line="240" w:lineRule="auto"/>
              <w:rPr>
                <w:rFonts w:ascii="Arial" w:eastAsia="Times New Roman" w:hAnsi="Arial" w:cs="Arial"/>
                <w:lang w:eastAsia="en-GB"/>
              </w:rPr>
            </w:pPr>
          </w:p>
          <w:p w14:paraId="2EAAF443" w14:textId="77777777" w:rsidR="00541DE7" w:rsidRPr="00587EE5" w:rsidRDefault="00541DE7" w:rsidP="004B3D3B">
            <w:pPr>
              <w:spacing w:after="0" w:line="240" w:lineRule="auto"/>
              <w:rPr>
                <w:rFonts w:ascii="Arial" w:eastAsia="Times New Roman" w:hAnsi="Arial" w:cs="Arial"/>
                <w:lang w:eastAsia="en-GB"/>
              </w:rPr>
            </w:pPr>
          </w:p>
          <w:p w14:paraId="6F69688F" w14:textId="77777777" w:rsidR="00541DE7" w:rsidRPr="00587EE5" w:rsidRDefault="00541DE7" w:rsidP="004B3D3B">
            <w:pPr>
              <w:spacing w:after="0" w:line="240" w:lineRule="auto"/>
              <w:rPr>
                <w:rFonts w:ascii="Arial" w:eastAsia="Times New Roman" w:hAnsi="Arial" w:cs="Arial"/>
                <w:lang w:eastAsia="en-GB"/>
              </w:rPr>
            </w:pPr>
          </w:p>
          <w:p w14:paraId="39DD2BF6" w14:textId="77777777" w:rsidR="00541DE7" w:rsidRPr="00587EE5" w:rsidRDefault="00541DE7" w:rsidP="004B3D3B">
            <w:pPr>
              <w:spacing w:after="0" w:line="240" w:lineRule="auto"/>
              <w:rPr>
                <w:rFonts w:ascii="Arial" w:eastAsia="Times New Roman" w:hAnsi="Arial" w:cs="Arial"/>
                <w:lang w:eastAsia="en-GB"/>
              </w:rPr>
            </w:pPr>
          </w:p>
          <w:p w14:paraId="74EC5980" w14:textId="77777777" w:rsidR="00541DE7" w:rsidRPr="00587EE5" w:rsidRDefault="00541DE7" w:rsidP="004B3D3B">
            <w:pPr>
              <w:spacing w:after="0" w:line="240" w:lineRule="auto"/>
              <w:rPr>
                <w:rFonts w:ascii="Arial" w:eastAsia="Times New Roman" w:hAnsi="Arial" w:cs="Arial"/>
                <w:lang w:eastAsia="en-GB"/>
              </w:rPr>
            </w:pPr>
          </w:p>
          <w:p w14:paraId="2A327B3D" w14:textId="77777777" w:rsidR="00541DE7" w:rsidRPr="00587EE5" w:rsidRDefault="00541DE7" w:rsidP="004B3D3B">
            <w:pPr>
              <w:spacing w:after="0" w:line="240" w:lineRule="auto"/>
              <w:rPr>
                <w:rFonts w:ascii="Arial" w:eastAsia="Times New Roman" w:hAnsi="Arial" w:cs="Arial"/>
                <w:lang w:eastAsia="en-GB"/>
              </w:rPr>
            </w:pPr>
          </w:p>
          <w:p w14:paraId="6DAE90D3" w14:textId="77777777" w:rsidR="00541DE7" w:rsidRPr="00587EE5" w:rsidRDefault="00541DE7" w:rsidP="004B3D3B">
            <w:pPr>
              <w:spacing w:after="0" w:line="240" w:lineRule="auto"/>
              <w:rPr>
                <w:rFonts w:ascii="Arial" w:eastAsia="Times New Roman" w:hAnsi="Arial" w:cs="Arial"/>
                <w:lang w:eastAsia="en-GB"/>
              </w:rPr>
            </w:pPr>
          </w:p>
          <w:p w14:paraId="5CF6DB4C" w14:textId="77777777" w:rsidR="00541DE7" w:rsidRPr="00587EE5" w:rsidRDefault="00541DE7" w:rsidP="004B3D3B">
            <w:pPr>
              <w:spacing w:after="0" w:line="240" w:lineRule="auto"/>
              <w:rPr>
                <w:rFonts w:ascii="Arial" w:eastAsia="Times New Roman" w:hAnsi="Arial" w:cs="Arial"/>
                <w:lang w:eastAsia="en-GB"/>
              </w:rPr>
            </w:pPr>
          </w:p>
          <w:p w14:paraId="0547DB23" w14:textId="77777777" w:rsidR="00541DE7" w:rsidRPr="00587EE5" w:rsidRDefault="00541DE7" w:rsidP="004B3D3B">
            <w:pPr>
              <w:spacing w:after="0" w:line="240" w:lineRule="auto"/>
              <w:rPr>
                <w:rFonts w:ascii="Arial" w:eastAsia="Times New Roman" w:hAnsi="Arial" w:cs="Arial"/>
                <w:lang w:eastAsia="en-GB"/>
              </w:rPr>
            </w:pPr>
          </w:p>
          <w:p w14:paraId="30AE901A" w14:textId="77777777" w:rsidR="00541DE7" w:rsidRPr="00587EE5" w:rsidRDefault="00541DE7" w:rsidP="004B3D3B">
            <w:pPr>
              <w:spacing w:after="0" w:line="240" w:lineRule="auto"/>
              <w:rPr>
                <w:rFonts w:ascii="Arial" w:eastAsia="Times New Roman" w:hAnsi="Arial" w:cs="Arial"/>
                <w:lang w:eastAsia="en-GB"/>
              </w:rPr>
            </w:pPr>
          </w:p>
          <w:p w14:paraId="33DB0CBD" w14:textId="77777777" w:rsidR="00541DE7" w:rsidRPr="00587EE5" w:rsidRDefault="00541DE7" w:rsidP="004B3D3B">
            <w:pPr>
              <w:spacing w:after="0" w:line="240" w:lineRule="auto"/>
              <w:rPr>
                <w:rFonts w:ascii="Arial" w:eastAsia="Times New Roman" w:hAnsi="Arial" w:cs="Arial"/>
                <w:lang w:eastAsia="en-GB"/>
              </w:rPr>
            </w:pPr>
          </w:p>
          <w:p w14:paraId="75847996" w14:textId="77777777" w:rsidR="00541DE7" w:rsidRPr="00587EE5" w:rsidRDefault="00541DE7" w:rsidP="004B3D3B">
            <w:pPr>
              <w:spacing w:after="0" w:line="240" w:lineRule="auto"/>
              <w:rPr>
                <w:rFonts w:ascii="Arial" w:eastAsia="Times New Roman" w:hAnsi="Arial" w:cs="Arial"/>
                <w:lang w:eastAsia="en-GB"/>
              </w:rPr>
            </w:pPr>
          </w:p>
          <w:p w14:paraId="763961E8" w14:textId="77777777" w:rsidR="00541DE7" w:rsidRPr="00587EE5" w:rsidRDefault="00541DE7" w:rsidP="004B3D3B">
            <w:pPr>
              <w:spacing w:after="0" w:line="240" w:lineRule="auto"/>
              <w:rPr>
                <w:rFonts w:ascii="Arial" w:eastAsia="Times New Roman" w:hAnsi="Arial" w:cs="Arial"/>
                <w:lang w:eastAsia="en-GB"/>
              </w:rPr>
            </w:pPr>
          </w:p>
          <w:p w14:paraId="126DE936" w14:textId="77777777" w:rsidR="00541DE7" w:rsidRPr="00587EE5" w:rsidRDefault="00541DE7" w:rsidP="004B3D3B">
            <w:pPr>
              <w:spacing w:after="0" w:line="240" w:lineRule="auto"/>
              <w:rPr>
                <w:rFonts w:ascii="Arial" w:eastAsia="Times New Roman" w:hAnsi="Arial" w:cs="Arial"/>
                <w:lang w:eastAsia="en-GB"/>
              </w:rPr>
            </w:pPr>
          </w:p>
          <w:p w14:paraId="1D986DB3" w14:textId="77777777" w:rsidR="00541DE7" w:rsidRPr="00587EE5" w:rsidRDefault="00541DE7" w:rsidP="004B3D3B">
            <w:pPr>
              <w:spacing w:after="0" w:line="240" w:lineRule="auto"/>
              <w:rPr>
                <w:rFonts w:ascii="Arial" w:eastAsia="Times New Roman" w:hAnsi="Arial" w:cs="Arial"/>
                <w:lang w:eastAsia="en-GB"/>
              </w:rPr>
            </w:pPr>
          </w:p>
        </w:tc>
      </w:tr>
      <w:tr w:rsidR="00541DE7" w:rsidRPr="00EB38B7" w14:paraId="7350A0A8" w14:textId="77777777" w:rsidTr="00587EE5">
        <w:trPr>
          <w:cantSplit/>
          <w:trHeight w:hRule="exact" w:val="1165"/>
        </w:trPr>
        <w:tc>
          <w:tcPr>
            <w:tcW w:w="2930" w:type="dxa"/>
            <w:tcBorders>
              <w:top w:val="single" w:sz="4" w:space="0" w:color="auto"/>
              <w:left w:val="single" w:sz="4" w:space="0" w:color="auto"/>
              <w:bottom w:val="single" w:sz="4" w:space="0" w:color="auto"/>
              <w:right w:val="single" w:sz="4" w:space="0" w:color="auto"/>
            </w:tcBorders>
          </w:tcPr>
          <w:p w14:paraId="6E610B37"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Legislation, regulatory, equality, diversity and dignity implications:</w:t>
            </w:r>
          </w:p>
          <w:p w14:paraId="1BF825A8" w14:textId="77777777" w:rsidR="00541DE7" w:rsidRPr="00CA712F" w:rsidRDefault="00541DE7" w:rsidP="004B3D3B">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19C96E6F"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England and CQC letter to NHSFT CEOs (31.3.14): Hard Truths Commitment regarding publishing of staffing data.</w:t>
            </w:r>
          </w:p>
          <w:p w14:paraId="5F9E47FA"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Improvement letter: 22.4.16</w:t>
            </w:r>
          </w:p>
          <w:p w14:paraId="563C2FBD" w14:textId="77777777" w:rsidR="00541DE7" w:rsidRPr="00587EE5" w:rsidRDefault="00541DE7" w:rsidP="004B3D3B">
            <w:pPr>
              <w:spacing w:after="0" w:line="240" w:lineRule="auto"/>
              <w:rPr>
                <w:rFonts w:ascii="Arial" w:eastAsia="Times New Roman" w:hAnsi="Arial" w:cs="Arial"/>
                <w:lang w:eastAsia="en-GB"/>
              </w:rPr>
            </w:pPr>
            <w:r w:rsidRPr="00587EE5">
              <w:rPr>
                <w:rFonts w:ascii="Arial" w:eastAsia="Times New Roman" w:hAnsi="Arial" w:cs="Arial"/>
                <w:lang w:eastAsia="en-GB"/>
              </w:rPr>
              <w:t>NHS Improvement letter re CHPPD: 29/6/18</w:t>
            </w:r>
          </w:p>
          <w:p w14:paraId="3BB28583" w14:textId="77777777" w:rsidR="00587EE5" w:rsidRPr="00587EE5" w:rsidRDefault="00587EE5" w:rsidP="004B3D3B">
            <w:pPr>
              <w:spacing w:after="0" w:line="240" w:lineRule="auto"/>
              <w:rPr>
                <w:rFonts w:ascii="Arial" w:eastAsia="Times New Roman" w:hAnsi="Arial" w:cs="Arial"/>
                <w:lang w:eastAsia="en-GB"/>
              </w:rPr>
            </w:pPr>
          </w:p>
          <w:p w14:paraId="5E005168" w14:textId="77777777" w:rsidR="00541DE7" w:rsidRPr="00587EE5" w:rsidRDefault="00541DE7" w:rsidP="004B3D3B">
            <w:pPr>
              <w:spacing w:after="0" w:line="240" w:lineRule="auto"/>
              <w:rPr>
                <w:rFonts w:ascii="Arial" w:eastAsia="Times New Roman" w:hAnsi="Arial" w:cs="Arial"/>
                <w:lang w:eastAsia="en-GB"/>
              </w:rPr>
            </w:pPr>
          </w:p>
          <w:p w14:paraId="4D3FE443" w14:textId="77777777" w:rsidR="00541DE7" w:rsidRPr="00587EE5" w:rsidRDefault="00541DE7" w:rsidP="004B3D3B">
            <w:pPr>
              <w:spacing w:after="0" w:line="240" w:lineRule="auto"/>
              <w:rPr>
                <w:rFonts w:ascii="Arial" w:eastAsia="Times New Roman" w:hAnsi="Arial" w:cs="Arial"/>
                <w:lang w:eastAsia="en-GB"/>
              </w:rPr>
            </w:pPr>
          </w:p>
          <w:p w14:paraId="2724C43F" w14:textId="77777777" w:rsidR="00541DE7" w:rsidRPr="00587EE5" w:rsidRDefault="00541DE7" w:rsidP="004B3D3B">
            <w:pPr>
              <w:spacing w:after="0" w:line="240" w:lineRule="auto"/>
              <w:rPr>
                <w:rFonts w:ascii="Arial" w:eastAsia="Times New Roman" w:hAnsi="Arial" w:cs="Arial"/>
                <w:lang w:eastAsia="en-GB"/>
              </w:rPr>
            </w:pPr>
          </w:p>
          <w:p w14:paraId="48895990" w14:textId="77777777" w:rsidR="00541DE7" w:rsidRPr="00587EE5" w:rsidRDefault="00541DE7" w:rsidP="004B3D3B">
            <w:pPr>
              <w:spacing w:after="0" w:line="240" w:lineRule="auto"/>
              <w:rPr>
                <w:rFonts w:ascii="Arial" w:eastAsia="Times New Roman" w:hAnsi="Arial" w:cs="Arial"/>
                <w:lang w:eastAsia="en-GB"/>
              </w:rPr>
            </w:pPr>
          </w:p>
          <w:p w14:paraId="583DB763" w14:textId="77777777" w:rsidR="00541DE7" w:rsidRPr="00587EE5" w:rsidRDefault="00541DE7" w:rsidP="004B3D3B">
            <w:pPr>
              <w:spacing w:after="0" w:line="240" w:lineRule="auto"/>
              <w:rPr>
                <w:rFonts w:ascii="Arial" w:eastAsia="Times New Roman" w:hAnsi="Arial" w:cs="Arial"/>
                <w:b/>
                <w:lang w:eastAsia="en-GB"/>
              </w:rPr>
            </w:pPr>
          </w:p>
          <w:p w14:paraId="52B13525" w14:textId="77777777" w:rsidR="00541DE7" w:rsidRPr="00587EE5" w:rsidRDefault="00541DE7" w:rsidP="004B3D3B">
            <w:pPr>
              <w:spacing w:after="0" w:line="240" w:lineRule="auto"/>
              <w:rPr>
                <w:rFonts w:ascii="Arial" w:eastAsia="Times New Roman" w:hAnsi="Arial" w:cs="Arial"/>
                <w:lang w:eastAsia="en-GB"/>
              </w:rPr>
            </w:pPr>
          </w:p>
        </w:tc>
      </w:tr>
      <w:tr w:rsidR="00587EE5" w:rsidRPr="00EB38B7" w14:paraId="1C46B80F" w14:textId="77777777" w:rsidTr="00587EE5">
        <w:trPr>
          <w:cantSplit/>
          <w:trHeight w:hRule="exact" w:val="1536"/>
        </w:trPr>
        <w:tc>
          <w:tcPr>
            <w:tcW w:w="2930" w:type="dxa"/>
            <w:tcBorders>
              <w:top w:val="single" w:sz="4" w:space="0" w:color="auto"/>
              <w:left w:val="single" w:sz="4" w:space="0" w:color="auto"/>
              <w:bottom w:val="single" w:sz="4" w:space="0" w:color="auto"/>
              <w:right w:val="single" w:sz="4" w:space="0" w:color="auto"/>
            </w:tcBorders>
          </w:tcPr>
          <w:p w14:paraId="020F0109" w14:textId="77777777" w:rsidR="00587EE5" w:rsidRPr="00CA712F" w:rsidRDefault="00587EE5" w:rsidP="00587EE5">
            <w:pPr>
              <w:spacing w:after="0" w:line="240" w:lineRule="auto"/>
              <w:rPr>
                <w:rFonts w:ascii="Arial" w:eastAsia="Times New Roman" w:hAnsi="Arial" w:cs="Arial"/>
                <w:b/>
                <w:bCs/>
                <w:color w:val="005EB8"/>
                <w:sz w:val="24"/>
                <w:szCs w:val="18"/>
                <w:lang w:eastAsia="en-GB"/>
              </w:rPr>
            </w:pPr>
            <w:r w:rsidRPr="00CA712F">
              <w:rPr>
                <w:rFonts w:ascii="Arial" w:eastAsia="Times New Roman" w:hAnsi="Arial" w:cs="Arial"/>
                <w:b/>
                <w:bCs/>
                <w:color w:val="005EB8"/>
                <w:sz w:val="24"/>
                <w:szCs w:val="18"/>
                <w:lang w:eastAsia="en-GB"/>
              </w:rPr>
              <w:t>Appendices:</w:t>
            </w:r>
          </w:p>
          <w:p w14:paraId="1F9AF044" w14:textId="77777777" w:rsidR="00587EE5" w:rsidRPr="00CA712F" w:rsidRDefault="00587EE5" w:rsidP="00587EE5">
            <w:pPr>
              <w:spacing w:after="0" w:line="240" w:lineRule="auto"/>
              <w:rPr>
                <w:rFonts w:ascii="Arial" w:eastAsia="Times New Roman" w:hAnsi="Arial" w:cs="Arial"/>
                <w:b/>
                <w:bCs/>
                <w:color w:val="005EB8"/>
                <w:sz w:val="24"/>
                <w:szCs w:val="18"/>
                <w:lang w:eastAsia="en-GB"/>
              </w:rPr>
            </w:pPr>
          </w:p>
        </w:tc>
        <w:tc>
          <w:tcPr>
            <w:tcW w:w="7679" w:type="dxa"/>
            <w:gridSpan w:val="11"/>
            <w:tcBorders>
              <w:top w:val="single" w:sz="4" w:space="0" w:color="auto"/>
              <w:left w:val="single" w:sz="4" w:space="0" w:color="auto"/>
              <w:bottom w:val="single" w:sz="4" w:space="0" w:color="auto"/>
              <w:right w:val="single" w:sz="4" w:space="0" w:color="auto"/>
            </w:tcBorders>
          </w:tcPr>
          <w:p w14:paraId="14A77224"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Appendix 1:</w:t>
            </w:r>
            <w:r w:rsidRPr="00587EE5">
              <w:rPr>
                <w:rFonts w:ascii="Arial" w:eastAsia="Times New Roman" w:hAnsi="Arial" w:cs="Arial"/>
                <w:lang w:eastAsia="en-GB"/>
              </w:rPr>
              <w:t xml:space="preserve">  Ward and divisional fill rates by month against adjusted standard planned template. </w:t>
            </w:r>
          </w:p>
          <w:p w14:paraId="76D28793"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Appendix 2</w:t>
            </w:r>
            <w:r w:rsidRPr="00587EE5">
              <w:rPr>
                <w:rFonts w:ascii="Arial" w:eastAsia="Times New Roman" w:hAnsi="Arial" w:cs="Arial"/>
                <w:lang w:eastAsia="en-GB"/>
              </w:rPr>
              <w:t>: Ward and divisional CHPPD data</w:t>
            </w:r>
          </w:p>
          <w:p w14:paraId="05A8019A" w14:textId="77777777" w:rsidR="00587EE5" w:rsidRPr="00587EE5" w:rsidRDefault="00587EE5" w:rsidP="00587EE5">
            <w:pPr>
              <w:spacing w:after="0" w:line="240" w:lineRule="auto"/>
              <w:rPr>
                <w:rFonts w:ascii="Arial" w:eastAsia="Times New Roman" w:hAnsi="Arial" w:cs="Arial"/>
                <w:lang w:eastAsia="en-GB"/>
              </w:rPr>
            </w:pPr>
            <w:r w:rsidRPr="00587EE5">
              <w:rPr>
                <w:rFonts w:ascii="Arial" w:eastAsia="Times New Roman" w:hAnsi="Arial" w:cs="Arial"/>
                <w:b/>
                <w:lang w:eastAsia="en-GB"/>
              </w:rPr>
              <w:t xml:space="preserve">Appendix 3: </w:t>
            </w:r>
            <w:r w:rsidRPr="00587EE5">
              <w:rPr>
                <w:rFonts w:ascii="Arial" w:hAnsi="Arial" w:cs="Arial"/>
              </w:rPr>
              <w:t xml:space="preserve">Nursing red flags </w:t>
            </w:r>
          </w:p>
          <w:p w14:paraId="19521357" w14:textId="77777777" w:rsidR="00587EE5" w:rsidRPr="00587EE5" w:rsidRDefault="00587EE5" w:rsidP="00587EE5">
            <w:pPr>
              <w:spacing w:after="0" w:line="240" w:lineRule="auto"/>
              <w:rPr>
                <w:rFonts w:ascii="Arial" w:eastAsia="Times New Roman" w:hAnsi="Arial" w:cs="Arial"/>
                <w:b/>
                <w:lang w:eastAsia="en-GB"/>
              </w:rPr>
            </w:pPr>
            <w:r w:rsidRPr="00587EE5">
              <w:rPr>
                <w:rFonts w:ascii="Arial" w:eastAsia="Times New Roman" w:hAnsi="Arial" w:cs="Arial"/>
                <w:b/>
                <w:lang w:eastAsia="en-GB"/>
              </w:rPr>
              <w:t xml:space="preserve">Appendix 4: </w:t>
            </w:r>
            <w:r w:rsidRPr="00587EE5">
              <w:rPr>
                <w:rFonts w:ascii="Arial" w:eastAsia="Times New Roman" w:hAnsi="Arial" w:cs="Arial"/>
                <w:lang w:eastAsia="en-GB"/>
              </w:rPr>
              <w:t>Nursing quality indicators</w:t>
            </w:r>
          </w:p>
          <w:p w14:paraId="7CBCB264" w14:textId="77777777" w:rsidR="00587EE5" w:rsidRPr="00587EE5" w:rsidRDefault="00587EE5" w:rsidP="00587EE5">
            <w:pPr>
              <w:spacing w:after="0" w:line="240" w:lineRule="auto"/>
              <w:rPr>
                <w:rFonts w:ascii="Arial" w:eastAsia="Times New Roman" w:hAnsi="Arial" w:cs="Arial"/>
                <w:lang w:eastAsia="en-GB"/>
              </w:rPr>
            </w:pPr>
          </w:p>
          <w:p w14:paraId="6E149299" w14:textId="77777777" w:rsidR="00587EE5" w:rsidRPr="00587EE5" w:rsidRDefault="00587EE5" w:rsidP="00587EE5">
            <w:pPr>
              <w:spacing w:after="0" w:line="240" w:lineRule="auto"/>
              <w:rPr>
                <w:rFonts w:ascii="Arial" w:eastAsia="Times New Roman" w:hAnsi="Arial" w:cs="Arial"/>
                <w:lang w:eastAsia="en-GB"/>
              </w:rPr>
            </w:pPr>
          </w:p>
          <w:p w14:paraId="2648E38E" w14:textId="77777777" w:rsidR="00587EE5" w:rsidRPr="00587EE5" w:rsidRDefault="00587EE5" w:rsidP="00587EE5">
            <w:pPr>
              <w:spacing w:after="0" w:line="240" w:lineRule="auto"/>
              <w:rPr>
                <w:rFonts w:ascii="Arial" w:eastAsia="Times New Roman" w:hAnsi="Arial" w:cs="Arial"/>
                <w:lang w:eastAsia="en-GB"/>
              </w:rPr>
            </w:pPr>
          </w:p>
          <w:p w14:paraId="16001588" w14:textId="77777777" w:rsidR="00587EE5" w:rsidRPr="00587EE5" w:rsidRDefault="00587EE5" w:rsidP="00587EE5">
            <w:pPr>
              <w:spacing w:after="0" w:line="240" w:lineRule="auto"/>
              <w:rPr>
                <w:rFonts w:ascii="Arial" w:eastAsia="Times New Roman" w:hAnsi="Arial" w:cs="Arial"/>
                <w:lang w:eastAsia="en-GB"/>
              </w:rPr>
            </w:pPr>
          </w:p>
        </w:tc>
      </w:tr>
    </w:tbl>
    <w:p w14:paraId="4A2C225B" w14:textId="77777777" w:rsidR="00196127" w:rsidRPr="00EC22A3" w:rsidRDefault="00196127" w:rsidP="0026390F">
      <w:pPr>
        <w:spacing w:after="0"/>
        <w:rPr>
          <w:rFonts w:ascii="Arial" w:hAnsi="Arial" w:cs="Arial"/>
          <w:b/>
          <w:color w:val="005EB8"/>
        </w:rPr>
      </w:pPr>
    </w:p>
    <w:p w14:paraId="380BFB59" w14:textId="098B0EDF" w:rsidR="00B84FB3" w:rsidRPr="009E68A8" w:rsidRDefault="00B84FB3" w:rsidP="003F4460">
      <w:pPr>
        <w:spacing w:before="240" w:after="0" w:line="240" w:lineRule="auto"/>
        <w:rPr>
          <w:rFonts w:ascii="Arial" w:hAnsi="Arial" w:cs="Arial"/>
          <w:b/>
          <w:color w:val="005EB8"/>
        </w:rPr>
      </w:pPr>
      <w:r w:rsidRPr="009E68A8">
        <w:rPr>
          <w:rFonts w:ascii="Arial" w:hAnsi="Arial" w:cs="Arial"/>
          <w:b/>
          <w:color w:val="005EB8"/>
        </w:rPr>
        <w:lastRenderedPageBreak/>
        <w:t>Executive Summary</w:t>
      </w:r>
    </w:p>
    <w:p w14:paraId="249D2CAB" w14:textId="5C0FD744" w:rsidR="001E41C5" w:rsidRPr="001E41C5" w:rsidRDefault="001E41C5" w:rsidP="001E41C5">
      <w:pPr>
        <w:spacing w:before="240" w:after="0" w:line="240" w:lineRule="auto"/>
        <w:rPr>
          <w:rFonts w:ascii="Arial" w:eastAsia="Times New Roman" w:hAnsi="Arial" w:cs="Arial"/>
          <w:lang w:eastAsia="en-GB"/>
        </w:rPr>
      </w:pPr>
      <w:r w:rsidRPr="001E41C5">
        <w:rPr>
          <w:rFonts w:ascii="Arial" w:eastAsia="Times New Roman" w:hAnsi="Arial" w:cs="Arial"/>
          <w:lang w:eastAsia="en-GB"/>
        </w:rPr>
        <w:t xml:space="preserve">Safe staffing was maintained in December with reasonable assurance. </w:t>
      </w:r>
      <w:r w:rsidR="007006E6" w:rsidRPr="007006E6">
        <w:rPr>
          <w:rFonts w:ascii="Arial" w:eastAsia="Times New Roman" w:hAnsi="Arial" w:cs="Arial"/>
          <w:lang w:eastAsia="en-GB"/>
        </w:rPr>
        <w:t>Enhanced Care (ETOC) remains the primary workforce risk due to heavy reliance on temporary staffing and unfilled unregistered hours; a sustainable model is being finalised</w:t>
      </w:r>
      <w:r w:rsidR="007006E6">
        <w:rPr>
          <w:rFonts w:ascii="Arial" w:eastAsia="Times New Roman" w:hAnsi="Arial" w:cs="Arial"/>
          <w:lang w:eastAsia="en-GB"/>
        </w:rPr>
        <w:t xml:space="preserve">. </w:t>
      </w:r>
      <w:r w:rsidRPr="001E41C5">
        <w:rPr>
          <w:rFonts w:ascii="Arial" w:eastAsia="Times New Roman" w:hAnsi="Arial" w:cs="Arial"/>
          <w:lang w:eastAsia="en-GB"/>
        </w:rPr>
        <w:t>Registered nurse fill rates averaged 99.2%, and no wards fell below the 75% threshold. However, the position remains safe but fragile due to persistent pressures: enhanced care demand, CHPPD below national benchmarks (7.9 vs 8.8), and an increase in Red Flags (133, +13), mainly linked to RN shortfalls and unmet enhanced care needs.</w:t>
      </w:r>
    </w:p>
    <w:p w14:paraId="3CC760E8" w14:textId="77777777" w:rsidR="001E41C5" w:rsidRPr="001E41C5" w:rsidRDefault="001E41C5" w:rsidP="001E41C5">
      <w:pPr>
        <w:spacing w:before="240" w:after="0" w:line="240" w:lineRule="auto"/>
        <w:rPr>
          <w:rFonts w:ascii="Arial" w:eastAsia="Times New Roman" w:hAnsi="Arial" w:cs="Arial"/>
          <w:lang w:eastAsia="en-GB"/>
        </w:rPr>
      </w:pPr>
      <w:r w:rsidRPr="001E41C5">
        <w:rPr>
          <w:rFonts w:ascii="Arial" w:eastAsia="Times New Roman" w:hAnsi="Arial" w:cs="Arial"/>
          <w:lang w:eastAsia="en-GB"/>
        </w:rPr>
        <w:t>Quality indicators show falls rose to 105 (+25), with unwitnessed falls increasing significantly, though harm-related falls decreased slightly. Pressure ulcers increased to 41 from 30 but were largely unavoidable; nine wards reported zero HAPUs, sustaining strong performance. Complaints and PALS activity remain concentrated in ED and Lister Ward, with recurring themes of delays and communication, while compliment capture is inconsistent.</w:t>
      </w:r>
    </w:p>
    <w:p w14:paraId="47DD7461" w14:textId="22CBAE33" w:rsidR="001E41C5" w:rsidRPr="001E41C5" w:rsidRDefault="001E41C5" w:rsidP="001E41C5">
      <w:pPr>
        <w:spacing w:before="240" w:after="0" w:line="240" w:lineRule="auto"/>
        <w:rPr>
          <w:rFonts w:ascii="Arial" w:eastAsia="Times New Roman" w:hAnsi="Arial" w:cs="Arial"/>
          <w:lang w:eastAsia="en-GB"/>
        </w:rPr>
      </w:pPr>
      <w:r w:rsidRPr="001E41C5">
        <w:rPr>
          <w:rFonts w:ascii="Arial" w:eastAsia="Times New Roman" w:hAnsi="Arial" w:cs="Arial"/>
          <w:lang w:eastAsia="en-GB"/>
        </w:rPr>
        <w:t xml:space="preserve">Positive developments include sustained registered fill rates &gt;95%, improved redeployment governance, recruitment progress </w:t>
      </w:r>
      <w:r w:rsidR="005774A9">
        <w:rPr>
          <w:rFonts w:ascii="Arial" w:eastAsia="Times New Roman" w:hAnsi="Arial" w:cs="Arial"/>
          <w:lang w:eastAsia="en-GB"/>
        </w:rPr>
        <w:t>(12 in pipeline</w:t>
      </w:r>
      <w:r w:rsidRPr="001E41C5">
        <w:rPr>
          <w:rFonts w:ascii="Arial" w:eastAsia="Times New Roman" w:hAnsi="Arial" w:cs="Arial"/>
          <w:lang w:eastAsia="en-GB"/>
        </w:rPr>
        <w:t>), and completion of the establishment review for Board approval in February. Mandatory training compliance remains &gt;97%.</w:t>
      </w:r>
    </w:p>
    <w:p w14:paraId="15C68DC0" w14:textId="77777777" w:rsidR="001E41C5" w:rsidRPr="001E41C5" w:rsidRDefault="001E41C5" w:rsidP="001E41C5">
      <w:pPr>
        <w:spacing w:before="240" w:after="0" w:line="240" w:lineRule="auto"/>
        <w:rPr>
          <w:rFonts w:ascii="Arial" w:eastAsia="Times New Roman" w:hAnsi="Arial" w:cs="Arial"/>
          <w:lang w:eastAsia="en-GB"/>
        </w:rPr>
      </w:pPr>
      <w:r w:rsidRPr="001E41C5">
        <w:rPr>
          <w:rFonts w:ascii="Arial" w:eastAsia="Times New Roman" w:hAnsi="Arial" w:cs="Arial"/>
          <w:b/>
          <w:bCs/>
          <w:color w:val="0070C0"/>
          <w:lang w:eastAsia="en-GB"/>
        </w:rPr>
        <w:t>Overall judgement:</w:t>
      </w:r>
      <w:r w:rsidRPr="001E41C5">
        <w:rPr>
          <w:rFonts w:ascii="Arial" w:eastAsia="Times New Roman" w:hAnsi="Arial" w:cs="Arial"/>
          <w:color w:val="0070C0"/>
          <w:lang w:eastAsia="en-GB"/>
        </w:rPr>
        <w:t xml:space="preserve"> </w:t>
      </w:r>
      <w:r w:rsidRPr="001E41C5">
        <w:rPr>
          <w:rFonts w:ascii="Arial" w:eastAsia="Times New Roman" w:hAnsi="Arial" w:cs="Arial"/>
          <w:lang w:eastAsia="en-GB"/>
        </w:rPr>
        <w:t>Staffing was safe in December, but resilience is challenged by acuity-driven demand and structural gaps in enhanced care provision. Continued oversight and proactive workforce planning are essential.</w:t>
      </w:r>
    </w:p>
    <w:p w14:paraId="1A2ED806" w14:textId="11DB139D" w:rsidR="0000058F" w:rsidRPr="009E68A8" w:rsidRDefault="009A108B" w:rsidP="003F4460">
      <w:pPr>
        <w:spacing w:before="240" w:after="0" w:line="240" w:lineRule="auto"/>
        <w:rPr>
          <w:rFonts w:ascii="Arial" w:hAnsi="Arial" w:cs="Arial"/>
          <w:b/>
          <w:color w:val="005EB8"/>
        </w:rPr>
      </w:pPr>
      <w:r w:rsidRPr="009E68A8">
        <w:rPr>
          <w:rFonts w:ascii="Arial" w:hAnsi="Arial" w:cs="Arial"/>
          <w:b/>
          <w:color w:val="005EB8"/>
        </w:rPr>
        <w:t>1.0</w:t>
      </w:r>
      <w:r w:rsidRPr="009E68A8">
        <w:rPr>
          <w:rFonts w:ascii="Arial" w:hAnsi="Arial" w:cs="Arial"/>
          <w:b/>
          <w:color w:val="005EB8"/>
        </w:rPr>
        <w:tab/>
        <w:t xml:space="preserve"> Introduction</w:t>
      </w:r>
    </w:p>
    <w:p w14:paraId="6513086B" w14:textId="77777777" w:rsidR="00587807" w:rsidRPr="00587807" w:rsidRDefault="00587807" w:rsidP="00587807">
      <w:pPr>
        <w:spacing w:before="240" w:after="0" w:line="240" w:lineRule="auto"/>
        <w:jc w:val="both"/>
        <w:rPr>
          <w:rFonts w:ascii="Arial" w:hAnsi="Arial" w:cs="Arial"/>
          <w:lang w:val="en-US"/>
        </w:rPr>
      </w:pPr>
      <w:r w:rsidRPr="00587807">
        <w:rPr>
          <w:rFonts w:ascii="Arial" w:hAnsi="Arial" w:cs="Arial"/>
          <w:lang w:val="en-US"/>
        </w:rPr>
        <w:t>This report outlines nursing and midwifery staffing deployment at PAHT during December 2025, demonstrating how safe staffing levels were achieved and maintained. It also sets out governance and workforce management arrangements supporting this position.</w:t>
      </w:r>
    </w:p>
    <w:p w14:paraId="0A05D123" w14:textId="77777777" w:rsidR="009A108B" w:rsidRPr="009E68A8" w:rsidRDefault="009A108B" w:rsidP="003F4460">
      <w:pPr>
        <w:spacing w:before="240" w:after="0" w:line="240" w:lineRule="auto"/>
        <w:jc w:val="both"/>
        <w:rPr>
          <w:rFonts w:ascii="Arial" w:hAnsi="Arial" w:cs="Arial"/>
          <w:b/>
          <w:color w:val="005EB8"/>
        </w:rPr>
      </w:pPr>
      <w:r w:rsidRPr="009E68A8">
        <w:rPr>
          <w:rFonts w:ascii="Arial" w:hAnsi="Arial" w:cs="Arial"/>
          <w:b/>
          <w:color w:val="005EB8"/>
        </w:rPr>
        <w:t>2.0</w:t>
      </w:r>
      <w:r w:rsidRPr="009E68A8">
        <w:rPr>
          <w:rFonts w:ascii="Arial" w:hAnsi="Arial" w:cs="Arial"/>
          <w:b/>
          <w:color w:val="005EB8"/>
        </w:rPr>
        <w:tab/>
        <w:t xml:space="preserve"> Background</w:t>
      </w:r>
    </w:p>
    <w:p w14:paraId="6054435A" w14:textId="6E387B3A" w:rsidR="002F35EC" w:rsidRPr="009E68A8" w:rsidRDefault="00587807" w:rsidP="00587807">
      <w:pPr>
        <w:spacing w:before="100" w:beforeAutospacing="1" w:after="100" w:afterAutospacing="1" w:line="240" w:lineRule="auto"/>
        <w:rPr>
          <w:rFonts w:ascii="Arial" w:eastAsia="Times New Roman" w:hAnsi="Arial" w:cs="Arial"/>
          <w:lang w:eastAsia="en-GB"/>
        </w:rPr>
      </w:pPr>
      <w:r w:rsidRPr="009E68A8">
        <w:rPr>
          <w:rFonts w:ascii="Arial" w:eastAsia="Times New Roman" w:hAnsi="Arial" w:cs="Arial"/>
          <w:lang w:val="en-US" w:eastAsia="en-GB"/>
        </w:rPr>
        <w:t xml:space="preserve">Monthly staffing data is reviewed against expected levels and quality indicators in line with </w:t>
      </w:r>
      <w:r w:rsidRPr="009E68A8">
        <w:rPr>
          <w:rFonts w:ascii="Arial" w:eastAsia="Times New Roman" w:hAnsi="Arial" w:cs="Arial"/>
          <w:lang w:eastAsia="en-GB"/>
        </w:rPr>
        <w:t xml:space="preserve">National Quality Board (NQB, 2016) </w:t>
      </w:r>
      <w:r w:rsidRPr="009E68A8">
        <w:rPr>
          <w:rFonts w:ascii="Arial" w:eastAsia="Times New Roman" w:hAnsi="Arial" w:cs="Arial"/>
          <w:lang w:val="en-US" w:eastAsia="en-GB"/>
        </w:rPr>
        <w:t>guidance. The Trust remains committed to identifying improvements, addressing risks promptly, and sustaining high-quality patient care.</w:t>
      </w:r>
    </w:p>
    <w:p w14:paraId="34DBBB88" w14:textId="0AEC17F5" w:rsidR="00F7078A" w:rsidRPr="009E68A8" w:rsidRDefault="009A108B" w:rsidP="003F4460">
      <w:pPr>
        <w:spacing w:before="240" w:after="0" w:line="240" w:lineRule="auto"/>
        <w:jc w:val="both"/>
        <w:rPr>
          <w:rFonts w:ascii="Arial" w:hAnsi="Arial" w:cs="Arial"/>
          <w:b/>
          <w:color w:val="005EB8"/>
        </w:rPr>
      </w:pPr>
      <w:r w:rsidRPr="009E68A8">
        <w:rPr>
          <w:rFonts w:ascii="Arial" w:hAnsi="Arial" w:cs="Arial"/>
          <w:b/>
          <w:color w:val="005EB8"/>
        </w:rPr>
        <w:t>3.0</w:t>
      </w:r>
      <w:r w:rsidRPr="009E68A8">
        <w:rPr>
          <w:rFonts w:ascii="Arial" w:hAnsi="Arial" w:cs="Arial"/>
          <w:b/>
          <w:color w:val="005EB8"/>
        </w:rPr>
        <w:tab/>
      </w:r>
      <w:r w:rsidR="00BF75A2" w:rsidRPr="009E68A8">
        <w:rPr>
          <w:rFonts w:ascii="Arial" w:hAnsi="Arial" w:cs="Arial"/>
          <w:b/>
          <w:color w:val="005EB8"/>
        </w:rPr>
        <w:t xml:space="preserve">Inpatient </w:t>
      </w:r>
      <w:r w:rsidR="00633571" w:rsidRPr="009E68A8">
        <w:rPr>
          <w:rFonts w:ascii="Arial" w:hAnsi="Arial" w:cs="Arial"/>
          <w:b/>
          <w:color w:val="005EB8"/>
        </w:rPr>
        <w:t>Wards Fill Rate and Redeployment</w:t>
      </w:r>
    </w:p>
    <w:p w14:paraId="747D4E12" w14:textId="72DC49A9" w:rsidR="002F35EC" w:rsidRPr="009E68A8" w:rsidRDefault="002F35EC" w:rsidP="002F35EC">
      <w:pPr>
        <w:spacing w:before="100" w:beforeAutospacing="1" w:after="100" w:afterAutospacing="1" w:line="240" w:lineRule="auto"/>
        <w:rPr>
          <w:rFonts w:ascii="Arial" w:eastAsia="Times New Roman" w:hAnsi="Arial" w:cs="Arial"/>
          <w:lang w:eastAsia="en-GB"/>
        </w:rPr>
      </w:pPr>
      <w:r w:rsidRPr="009E68A8">
        <w:rPr>
          <w:rFonts w:ascii="Arial" w:eastAsia="Times New Roman" w:hAnsi="Arial" w:cs="Arial"/>
          <w:lang w:eastAsia="en-GB"/>
        </w:rPr>
        <w:t xml:space="preserve">The Trust’s safer staffing submission for </w:t>
      </w:r>
      <w:r w:rsidR="007122D6" w:rsidRPr="009E68A8">
        <w:rPr>
          <w:rFonts w:ascii="Arial" w:eastAsia="Times New Roman" w:hAnsi="Arial" w:cs="Arial"/>
          <w:lang w:eastAsia="en-GB"/>
        </w:rPr>
        <w:t>Dec</w:t>
      </w:r>
      <w:r w:rsidRPr="009E68A8">
        <w:rPr>
          <w:rFonts w:ascii="Arial" w:eastAsia="Times New Roman" w:hAnsi="Arial" w:cs="Arial"/>
          <w:lang w:eastAsia="en-GB"/>
        </w:rPr>
        <w:t>ember 2025 was submitted to NHS Digital within the required data submission timeframe. Table 1 presents a summary of the overall fill rate for the month, while Table 2 provides the overall fill rate percentages across a rolling 12-month period.</w:t>
      </w:r>
    </w:p>
    <w:p w14:paraId="104300EB" w14:textId="77777777" w:rsidR="00633571" w:rsidRPr="00EC22A3" w:rsidRDefault="00633571" w:rsidP="00633571">
      <w:pPr>
        <w:spacing w:before="240" w:line="240" w:lineRule="auto"/>
        <w:rPr>
          <w:rFonts w:ascii="Arial" w:hAnsi="Arial" w:cs="Arial"/>
          <w:b/>
          <w:color w:val="005EB8"/>
        </w:rPr>
      </w:pPr>
      <w:r w:rsidRPr="009E68A8">
        <w:rPr>
          <w:rFonts w:ascii="Arial" w:hAnsi="Arial" w:cs="Arial"/>
          <w:b/>
          <w:color w:val="005EB8"/>
        </w:rPr>
        <w:t>Table 1. Overall fill rate</w:t>
      </w:r>
    </w:p>
    <w:tbl>
      <w:tblPr>
        <w:tblStyle w:val="TableGrid"/>
        <w:tblW w:w="9493" w:type="dxa"/>
        <w:tblLayout w:type="fixed"/>
        <w:tblLook w:val="04A0" w:firstRow="1" w:lastRow="0" w:firstColumn="1" w:lastColumn="0" w:noHBand="0" w:noVBand="1"/>
      </w:tblPr>
      <w:tblGrid>
        <w:gridCol w:w="1555"/>
        <w:gridCol w:w="1157"/>
        <w:gridCol w:w="1536"/>
        <w:gridCol w:w="1176"/>
        <w:gridCol w:w="1356"/>
        <w:gridCol w:w="1356"/>
        <w:gridCol w:w="1357"/>
      </w:tblGrid>
      <w:tr w:rsidR="00633571" w:rsidRPr="00EC22A3" w14:paraId="0F3C3946" w14:textId="77777777" w:rsidTr="00191F63">
        <w:tc>
          <w:tcPr>
            <w:tcW w:w="1555" w:type="dxa"/>
            <w:shd w:val="clear" w:color="auto" w:fill="DEEAF6" w:themeFill="accent5" w:themeFillTint="33"/>
            <w:vAlign w:val="center"/>
          </w:tcPr>
          <w:p w14:paraId="7586EF90"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xml:space="preserve">Average day fill rate - registered nurses/midwives </w:t>
            </w:r>
          </w:p>
        </w:tc>
        <w:tc>
          <w:tcPr>
            <w:tcW w:w="1157" w:type="dxa"/>
            <w:shd w:val="clear" w:color="auto" w:fill="DEEAF6" w:themeFill="accent5" w:themeFillTint="33"/>
            <w:vAlign w:val="center"/>
          </w:tcPr>
          <w:p w14:paraId="54A1705B"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xml:space="preserve">Average day fill rate - care staff </w:t>
            </w:r>
          </w:p>
        </w:tc>
        <w:tc>
          <w:tcPr>
            <w:tcW w:w="1536" w:type="dxa"/>
            <w:shd w:val="clear" w:color="auto" w:fill="9CC2E5" w:themeFill="accent5" w:themeFillTint="99"/>
            <w:vAlign w:val="center"/>
          </w:tcPr>
          <w:p w14:paraId="50603570"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xml:space="preserve">Average night fill rate - registered nurses/midwives </w:t>
            </w:r>
          </w:p>
        </w:tc>
        <w:tc>
          <w:tcPr>
            <w:tcW w:w="1176" w:type="dxa"/>
            <w:shd w:val="clear" w:color="auto" w:fill="9CC2E5" w:themeFill="accent5" w:themeFillTint="99"/>
            <w:vAlign w:val="center"/>
          </w:tcPr>
          <w:p w14:paraId="15EEF67C"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xml:space="preserve">Average night fill rate - care staff </w:t>
            </w:r>
          </w:p>
        </w:tc>
        <w:tc>
          <w:tcPr>
            <w:tcW w:w="1356" w:type="dxa"/>
            <w:shd w:val="clear" w:color="auto" w:fill="BDD6EE" w:themeFill="accent5" w:themeFillTint="66"/>
            <w:vAlign w:val="center"/>
          </w:tcPr>
          <w:p w14:paraId="0B72C300" w14:textId="77777777" w:rsidR="00633571" w:rsidRPr="00EC22A3" w:rsidRDefault="00633571" w:rsidP="00191F63">
            <w:pPr>
              <w:spacing w:after="0" w:line="240" w:lineRule="auto"/>
              <w:rPr>
                <w:rFonts w:ascii="Arial" w:eastAsia="Times New Roman" w:hAnsi="Arial" w:cs="Arial"/>
                <w:b/>
                <w:bCs/>
                <w:lang w:eastAsia="en-GB"/>
              </w:rPr>
            </w:pPr>
            <w:r w:rsidRPr="00EC22A3">
              <w:rPr>
                <w:rFonts w:ascii="Arial" w:eastAsia="Times New Roman" w:hAnsi="Arial" w:cs="Arial"/>
                <w:b/>
                <w:bCs/>
                <w:lang w:eastAsia="en-GB"/>
              </w:rPr>
              <w:t>% Registered overall fill rate</w:t>
            </w:r>
          </w:p>
        </w:tc>
        <w:tc>
          <w:tcPr>
            <w:tcW w:w="1356" w:type="dxa"/>
            <w:shd w:val="clear" w:color="auto" w:fill="BDD6EE" w:themeFill="accent5" w:themeFillTint="66"/>
            <w:vAlign w:val="center"/>
          </w:tcPr>
          <w:p w14:paraId="4CAF8335"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HCSW overall fill rate</w:t>
            </w:r>
          </w:p>
        </w:tc>
        <w:tc>
          <w:tcPr>
            <w:tcW w:w="1357" w:type="dxa"/>
            <w:shd w:val="clear" w:color="auto" w:fill="BDD6EE" w:themeFill="accent5" w:themeFillTint="66"/>
            <w:vAlign w:val="center"/>
          </w:tcPr>
          <w:p w14:paraId="0449688A" w14:textId="77777777" w:rsidR="00633571" w:rsidRPr="00EC22A3" w:rsidRDefault="00633571" w:rsidP="00191F63">
            <w:pPr>
              <w:spacing w:after="0" w:line="240" w:lineRule="auto"/>
              <w:rPr>
                <w:rFonts w:ascii="Arial" w:eastAsia="Times New Roman" w:hAnsi="Arial" w:cs="Arial"/>
                <w:b/>
                <w:lang w:eastAsia="en-GB"/>
              </w:rPr>
            </w:pPr>
            <w:r w:rsidRPr="00EC22A3">
              <w:rPr>
                <w:rFonts w:ascii="Arial" w:eastAsia="Times New Roman" w:hAnsi="Arial" w:cs="Arial"/>
                <w:b/>
                <w:lang w:eastAsia="en-GB"/>
              </w:rPr>
              <w:t>% Overall fill rate</w:t>
            </w:r>
          </w:p>
        </w:tc>
      </w:tr>
      <w:tr w:rsidR="00633571" w:rsidRPr="00EC22A3" w14:paraId="05102B5C" w14:textId="77777777" w:rsidTr="00191F63">
        <w:trPr>
          <w:trHeight w:val="235"/>
        </w:trPr>
        <w:tc>
          <w:tcPr>
            <w:tcW w:w="1555" w:type="dxa"/>
            <w:tcBorders>
              <w:top w:val="single" w:sz="4" w:space="0" w:color="auto"/>
              <w:left w:val="single" w:sz="4" w:space="0" w:color="auto"/>
              <w:bottom w:val="single" w:sz="4" w:space="0" w:color="auto"/>
              <w:right w:val="single" w:sz="8" w:space="0" w:color="auto"/>
            </w:tcBorders>
            <w:shd w:val="clear" w:color="000000" w:fill="92D050"/>
          </w:tcPr>
          <w:p w14:paraId="146DDC51"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96.3%</w:t>
            </w:r>
          </w:p>
        </w:tc>
        <w:tc>
          <w:tcPr>
            <w:tcW w:w="1157" w:type="dxa"/>
            <w:tcBorders>
              <w:top w:val="single" w:sz="4" w:space="0" w:color="auto"/>
              <w:left w:val="nil"/>
              <w:bottom w:val="single" w:sz="4" w:space="0" w:color="auto"/>
              <w:right w:val="single" w:sz="8" w:space="0" w:color="auto"/>
            </w:tcBorders>
            <w:shd w:val="clear" w:color="000000" w:fill="00B0F0"/>
          </w:tcPr>
          <w:p w14:paraId="55A9D781"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107.2%</w:t>
            </w:r>
          </w:p>
        </w:tc>
        <w:tc>
          <w:tcPr>
            <w:tcW w:w="1536" w:type="dxa"/>
            <w:tcBorders>
              <w:top w:val="single" w:sz="4" w:space="0" w:color="auto"/>
              <w:left w:val="nil"/>
              <w:bottom w:val="single" w:sz="4" w:space="0" w:color="auto"/>
              <w:right w:val="single" w:sz="8" w:space="0" w:color="auto"/>
            </w:tcBorders>
            <w:shd w:val="clear" w:color="000000" w:fill="00B0F0"/>
          </w:tcPr>
          <w:p w14:paraId="6FBD6606"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102.7%</w:t>
            </w:r>
          </w:p>
        </w:tc>
        <w:tc>
          <w:tcPr>
            <w:tcW w:w="1176" w:type="dxa"/>
            <w:tcBorders>
              <w:top w:val="single" w:sz="4" w:space="0" w:color="auto"/>
              <w:left w:val="nil"/>
              <w:bottom w:val="single" w:sz="4" w:space="0" w:color="auto"/>
              <w:right w:val="single" w:sz="8" w:space="0" w:color="auto"/>
            </w:tcBorders>
            <w:shd w:val="clear" w:color="000000" w:fill="00B0F0"/>
          </w:tcPr>
          <w:p w14:paraId="4FFFDF2D"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126.4%</w:t>
            </w:r>
          </w:p>
        </w:tc>
        <w:tc>
          <w:tcPr>
            <w:tcW w:w="1356" w:type="dxa"/>
            <w:tcBorders>
              <w:top w:val="single" w:sz="4" w:space="0" w:color="auto"/>
              <w:left w:val="nil"/>
              <w:bottom w:val="single" w:sz="4" w:space="0" w:color="auto"/>
              <w:right w:val="single" w:sz="8" w:space="0" w:color="auto"/>
            </w:tcBorders>
            <w:shd w:val="clear" w:color="000000" w:fill="92D050"/>
          </w:tcPr>
          <w:p w14:paraId="2621A9E0"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99.2%</w:t>
            </w:r>
          </w:p>
        </w:tc>
        <w:tc>
          <w:tcPr>
            <w:tcW w:w="1356" w:type="dxa"/>
            <w:tcBorders>
              <w:top w:val="single" w:sz="4" w:space="0" w:color="auto"/>
              <w:left w:val="nil"/>
              <w:bottom w:val="single" w:sz="4" w:space="0" w:color="auto"/>
              <w:right w:val="single" w:sz="8" w:space="0" w:color="auto"/>
            </w:tcBorders>
            <w:shd w:val="clear" w:color="000000" w:fill="00B0F0"/>
          </w:tcPr>
          <w:p w14:paraId="747EB8C2"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115.9%</w:t>
            </w:r>
          </w:p>
        </w:tc>
        <w:tc>
          <w:tcPr>
            <w:tcW w:w="1357" w:type="dxa"/>
            <w:tcBorders>
              <w:top w:val="single" w:sz="4" w:space="0" w:color="auto"/>
              <w:left w:val="nil"/>
              <w:bottom w:val="single" w:sz="4" w:space="0" w:color="auto"/>
              <w:right w:val="single" w:sz="8" w:space="0" w:color="auto"/>
            </w:tcBorders>
            <w:shd w:val="clear" w:color="000000" w:fill="00B0F0"/>
          </w:tcPr>
          <w:p w14:paraId="3C82E822" w14:textId="77777777" w:rsidR="00633571" w:rsidRPr="00EC22A3" w:rsidRDefault="00633571" w:rsidP="00191F63">
            <w:pPr>
              <w:spacing w:after="0" w:line="240" w:lineRule="auto"/>
              <w:jc w:val="center"/>
              <w:rPr>
                <w:rFonts w:ascii="Arial" w:eastAsia="Times New Roman" w:hAnsi="Arial" w:cs="Arial"/>
                <w:b/>
                <w:bCs/>
                <w:lang w:eastAsia="en-GB"/>
              </w:rPr>
            </w:pPr>
            <w:r w:rsidRPr="00EC22A3">
              <w:rPr>
                <w:rFonts w:ascii="Arial" w:hAnsi="Arial" w:cs="Arial"/>
                <w:b/>
                <w:bCs/>
              </w:rPr>
              <w:t>104.7%</w:t>
            </w:r>
          </w:p>
        </w:tc>
      </w:tr>
    </w:tbl>
    <w:p w14:paraId="585C1514" w14:textId="77777777" w:rsidR="00633571" w:rsidRPr="00EC22A3" w:rsidRDefault="00633571" w:rsidP="00633571">
      <w:pPr>
        <w:spacing w:after="0"/>
        <w:rPr>
          <w:rFonts w:ascii="Arial" w:hAnsi="Arial" w:cs="Arial"/>
          <w:b/>
          <w:color w:val="005EB8"/>
        </w:rPr>
      </w:pPr>
    </w:p>
    <w:p w14:paraId="0276761A" w14:textId="77777777" w:rsidR="00633571" w:rsidRDefault="00633571" w:rsidP="00633571">
      <w:pPr>
        <w:spacing w:after="0"/>
        <w:rPr>
          <w:rFonts w:ascii="Arial" w:hAnsi="Arial" w:cs="Arial"/>
          <w:b/>
          <w:color w:val="005EB8"/>
          <w:highlight w:val="green"/>
        </w:rPr>
      </w:pPr>
    </w:p>
    <w:p w14:paraId="5577C6F1" w14:textId="77777777" w:rsidR="00633571" w:rsidRDefault="00633571" w:rsidP="00633571">
      <w:pPr>
        <w:spacing w:after="0"/>
        <w:rPr>
          <w:rFonts w:ascii="Arial" w:hAnsi="Arial" w:cs="Arial"/>
          <w:b/>
          <w:color w:val="005EB8"/>
          <w:highlight w:val="green"/>
        </w:rPr>
      </w:pPr>
    </w:p>
    <w:p w14:paraId="040710A6" w14:textId="77777777" w:rsidR="00633571" w:rsidRDefault="00633571" w:rsidP="00633571">
      <w:pPr>
        <w:spacing w:after="0"/>
        <w:rPr>
          <w:rFonts w:ascii="Arial" w:hAnsi="Arial" w:cs="Arial"/>
          <w:b/>
          <w:color w:val="005EB8"/>
          <w:highlight w:val="green"/>
        </w:rPr>
      </w:pPr>
    </w:p>
    <w:p w14:paraId="663ED83D" w14:textId="77777777" w:rsidR="00320228" w:rsidRDefault="00320228" w:rsidP="00633571">
      <w:pPr>
        <w:spacing w:after="0"/>
        <w:rPr>
          <w:rFonts w:ascii="Arial" w:hAnsi="Arial" w:cs="Arial"/>
          <w:b/>
          <w:color w:val="005EB8"/>
          <w:highlight w:val="green"/>
        </w:rPr>
      </w:pPr>
    </w:p>
    <w:p w14:paraId="5FA183FE" w14:textId="7CA59D2F" w:rsidR="00633571" w:rsidRPr="00EC22A3" w:rsidRDefault="00633571" w:rsidP="00633571">
      <w:pPr>
        <w:spacing w:after="0"/>
        <w:rPr>
          <w:rFonts w:ascii="Arial" w:hAnsi="Arial" w:cs="Arial"/>
          <w:b/>
          <w:color w:val="005EB8"/>
        </w:rPr>
      </w:pPr>
      <w:r w:rsidRPr="009E68A8">
        <w:rPr>
          <w:rFonts w:ascii="Arial" w:hAnsi="Arial" w:cs="Arial"/>
          <w:b/>
          <w:color w:val="005EB8"/>
        </w:rPr>
        <w:lastRenderedPageBreak/>
        <w:t>Table 2. Inpatient fill rate including Maternity Wards Trend</w:t>
      </w:r>
    </w:p>
    <w:p w14:paraId="52519E69" w14:textId="77777777" w:rsidR="00633571" w:rsidRPr="00EC22A3" w:rsidRDefault="00633571" w:rsidP="00633571">
      <w:pPr>
        <w:spacing w:after="0"/>
        <w:rPr>
          <w:rFonts w:ascii="Arial" w:hAnsi="Arial" w:cs="Arial"/>
          <w:b/>
          <w:color w:val="005EB8"/>
        </w:rPr>
      </w:pPr>
    </w:p>
    <w:p w14:paraId="2036F4A5" w14:textId="77777777" w:rsidR="00633571" w:rsidRPr="00EC22A3" w:rsidRDefault="00633571" w:rsidP="00633571">
      <w:pPr>
        <w:spacing w:after="0"/>
        <w:rPr>
          <w:rFonts w:ascii="Arial" w:hAnsi="Arial" w:cs="Arial"/>
          <w:b/>
          <w:color w:val="005EB8"/>
        </w:rPr>
      </w:pPr>
      <w:r w:rsidRPr="00EC22A3">
        <w:rPr>
          <w:rFonts w:ascii="Arial" w:hAnsi="Arial" w:cs="Arial"/>
          <w:b/>
          <w:noProof/>
          <w:color w:val="005EB8"/>
        </w:rPr>
        <w:drawing>
          <wp:inline distT="0" distB="0" distL="0" distR="0" wp14:anchorId="775410E4" wp14:editId="145582EC">
            <wp:extent cx="5458460" cy="3554467"/>
            <wp:effectExtent l="0" t="0" r="8890" b="8255"/>
            <wp:docPr id="98422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8460" cy="3554467"/>
                    </a:xfrm>
                    <a:prstGeom prst="rect">
                      <a:avLst/>
                    </a:prstGeom>
                    <a:noFill/>
                  </pic:spPr>
                </pic:pic>
              </a:graphicData>
            </a:graphic>
          </wp:inline>
        </w:drawing>
      </w:r>
    </w:p>
    <w:p w14:paraId="06290F30" w14:textId="77777777" w:rsidR="002F35EC" w:rsidRPr="00D52D15" w:rsidRDefault="002F35EC" w:rsidP="002F35EC">
      <w:pPr>
        <w:spacing w:before="100" w:beforeAutospacing="1" w:after="100" w:afterAutospacing="1" w:line="240" w:lineRule="auto"/>
        <w:rPr>
          <w:rFonts w:ascii="Arial" w:eastAsia="Times New Roman" w:hAnsi="Arial" w:cs="Arial"/>
          <w:lang w:eastAsia="en-GB"/>
        </w:rPr>
      </w:pPr>
      <w:r w:rsidRPr="00D52D15">
        <w:rPr>
          <w:rFonts w:ascii="Arial" w:eastAsia="Times New Roman" w:hAnsi="Arial" w:cs="Arial"/>
          <w:b/>
          <w:bCs/>
          <w:lang w:eastAsia="en-GB"/>
        </w:rPr>
        <w:t>Appendix 1</w:t>
      </w:r>
      <w:r w:rsidRPr="00D52D15">
        <w:rPr>
          <w:rFonts w:ascii="Arial" w:eastAsia="Times New Roman" w:hAnsi="Arial" w:cs="Arial"/>
          <w:lang w:eastAsia="en-GB"/>
        </w:rPr>
        <w:t xml:space="preserve"> sets out a ward-by-ward breakdown for the same period.</w:t>
      </w:r>
    </w:p>
    <w:p w14:paraId="643778D2" w14:textId="34BBF208" w:rsidR="003C22F7" w:rsidRPr="00D52D15" w:rsidRDefault="003C22F7" w:rsidP="003C22F7">
      <w:pPr>
        <w:spacing w:before="240" w:line="240" w:lineRule="auto"/>
        <w:jc w:val="both"/>
        <w:rPr>
          <w:rFonts w:ascii="Arial" w:hAnsi="Arial" w:cs="Arial"/>
          <w:b/>
          <w:color w:val="005EB8"/>
        </w:rPr>
      </w:pPr>
      <w:r w:rsidRPr="00D52D15">
        <w:rPr>
          <w:rFonts w:ascii="Arial" w:hAnsi="Arial" w:cs="Arial"/>
          <w:b/>
          <w:color w:val="005EB8"/>
        </w:rPr>
        <w:t xml:space="preserve">Trust wide </w:t>
      </w:r>
      <w:r w:rsidRPr="006C2EEB">
        <w:rPr>
          <w:rFonts w:ascii="Arial" w:hAnsi="Arial" w:cs="Arial"/>
          <w:b/>
          <w:color w:val="005EB8"/>
        </w:rPr>
        <w:t xml:space="preserve">– </w:t>
      </w:r>
      <w:r w:rsidRPr="006C2EEB">
        <w:rPr>
          <w:rFonts w:ascii="Arial" w:eastAsia="Times New Roman" w:hAnsi="Arial" w:cs="Arial"/>
          <w:lang w:eastAsia="en-GB"/>
        </w:rPr>
        <w:t xml:space="preserve">Recruitment continues to be positive, with </w:t>
      </w:r>
      <w:r w:rsidR="006C2EEB" w:rsidRPr="006C2EEB">
        <w:rPr>
          <w:rFonts w:ascii="Arial" w:eastAsia="Times New Roman" w:hAnsi="Arial" w:cs="Arial"/>
          <w:lang w:eastAsia="en-GB"/>
        </w:rPr>
        <w:t>5 newly qualified nurses joining in December with a further 12 in the pipelines</w:t>
      </w:r>
      <w:r w:rsidRPr="006C2EEB">
        <w:rPr>
          <w:rFonts w:ascii="Arial" w:eastAsia="Times New Roman" w:hAnsi="Arial" w:cs="Arial"/>
          <w:lang w:eastAsia="en-GB"/>
        </w:rPr>
        <w:t xml:space="preserve">. A further recruitment event is planned for </w:t>
      </w:r>
      <w:r w:rsidR="009E68A8" w:rsidRPr="006C2EEB">
        <w:rPr>
          <w:rFonts w:ascii="Arial" w:eastAsia="Times New Roman" w:hAnsi="Arial" w:cs="Arial"/>
          <w:lang w:eastAsia="en-GB"/>
        </w:rPr>
        <w:t>Spring and Summer</w:t>
      </w:r>
      <w:r w:rsidRPr="006C2EEB">
        <w:rPr>
          <w:rFonts w:ascii="Arial" w:eastAsia="Times New Roman" w:hAnsi="Arial" w:cs="Arial"/>
          <w:lang w:eastAsia="en-GB"/>
        </w:rPr>
        <w:t xml:space="preserve"> 2026, targeting graduates, including five</w:t>
      </w:r>
      <w:r w:rsidRPr="00D52D15">
        <w:rPr>
          <w:rFonts w:ascii="Arial" w:eastAsia="Times New Roman" w:hAnsi="Arial" w:cs="Arial"/>
          <w:lang w:eastAsia="en-GB"/>
        </w:rPr>
        <w:t xml:space="preserve"> internal apprentices.</w:t>
      </w:r>
    </w:p>
    <w:p w14:paraId="3F22F96A" w14:textId="77777777" w:rsidR="003C22F7" w:rsidRPr="00D52D15" w:rsidRDefault="003C22F7" w:rsidP="003C22F7">
      <w:pPr>
        <w:spacing w:before="240" w:line="240" w:lineRule="auto"/>
        <w:jc w:val="both"/>
        <w:rPr>
          <w:rFonts w:ascii="Arial" w:hAnsi="Arial" w:cs="Arial"/>
          <w:b/>
          <w:color w:val="005EB8"/>
        </w:rPr>
      </w:pPr>
      <w:r w:rsidRPr="00D52D15">
        <w:rPr>
          <w:rFonts w:ascii="Arial" w:eastAsia="Times New Roman" w:hAnsi="Arial" w:cs="Arial"/>
          <w:lang w:eastAsia="en-GB"/>
        </w:rPr>
        <w:t>The end-of-year establishment review covering adult and paediatric inpatient wards, assessment units and the Emergency Department concluded on 14 October 2025 and is scheduled for Board approval in February 2026. This review will inform future roster templates and is intended to address acuity-driven pressures, including those identified through CHPPD benchmarking and enhanced care demand.</w:t>
      </w:r>
    </w:p>
    <w:p w14:paraId="3BC72B47" w14:textId="6DD327A1" w:rsidR="003C22F7" w:rsidRPr="00D52D15" w:rsidRDefault="003C22F7" w:rsidP="003C22F7">
      <w:pPr>
        <w:spacing w:before="240" w:line="240" w:lineRule="auto"/>
        <w:jc w:val="both"/>
        <w:rPr>
          <w:rFonts w:ascii="Arial" w:hAnsi="Arial" w:cs="Arial"/>
        </w:rPr>
      </w:pPr>
      <w:r w:rsidRPr="00D52D15">
        <w:rPr>
          <w:rFonts w:ascii="Arial" w:hAnsi="Arial" w:cs="Arial"/>
          <w:b/>
          <w:color w:val="005EB8"/>
        </w:rPr>
        <w:t xml:space="preserve">John Snow Ward </w:t>
      </w:r>
      <w:r w:rsidR="00D52D15" w:rsidRPr="00D52D15">
        <w:rPr>
          <w:rFonts w:ascii="Arial" w:hAnsi="Arial" w:cs="Arial"/>
          <w:b/>
          <w:color w:val="005EB8"/>
        </w:rPr>
        <w:t xml:space="preserve">– </w:t>
      </w:r>
      <w:r w:rsidR="009E68A8" w:rsidRPr="00D52D15">
        <w:rPr>
          <w:rFonts w:ascii="Arial" w:hAnsi="Arial" w:cs="Arial"/>
        </w:rPr>
        <w:t>HCSW shifts were delivered about 1 WTE below template, based on real-time assessment of patient capacity and acuity. Redeployment decisions were agreed through daily safety huddles to maintain safe staffing. This position was formally reviewed and captured in the September SNCT submission.</w:t>
      </w:r>
    </w:p>
    <w:p w14:paraId="21CD7548" w14:textId="1400E5B5" w:rsidR="009E68A8" w:rsidRPr="00D52D15" w:rsidRDefault="003C22F7" w:rsidP="009E68A8">
      <w:pPr>
        <w:pStyle w:val="NormalWeb"/>
        <w:rPr>
          <w:rFonts w:ascii="Arial" w:eastAsia="Times New Roman" w:hAnsi="Arial" w:cs="Arial"/>
          <w:sz w:val="22"/>
          <w:szCs w:val="22"/>
          <w:lang w:eastAsia="en-GB"/>
        </w:rPr>
      </w:pPr>
      <w:r w:rsidRPr="00D52D15">
        <w:rPr>
          <w:rFonts w:ascii="Arial" w:hAnsi="Arial" w:cs="Arial"/>
          <w:b/>
          <w:bCs/>
          <w:color w:val="005EB8"/>
          <w:sz w:val="22"/>
          <w:szCs w:val="22"/>
        </w:rPr>
        <w:t xml:space="preserve">Maternity </w:t>
      </w:r>
      <w:r w:rsidR="00D52D15" w:rsidRPr="00D52D15">
        <w:rPr>
          <w:rFonts w:ascii="Arial" w:hAnsi="Arial" w:cs="Arial"/>
          <w:b/>
          <w:bCs/>
          <w:color w:val="005EB8"/>
          <w:sz w:val="22"/>
          <w:szCs w:val="22"/>
        </w:rPr>
        <w:t xml:space="preserve">– </w:t>
      </w:r>
      <w:r w:rsidR="009E68A8" w:rsidRPr="00D52D15">
        <w:rPr>
          <w:rFonts w:ascii="Arial" w:eastAsia="Times New Roman" w:hAnsi="Arial" w:cs="Arial"/>
          <w:sz w:val="22"/>
          <w:szCs w:val="22"/>
          <w:lang w:eastAsia="en-GB"/>
        </w:rPr>
        <w:t>Fill rates improved across the division in December, though some areas remain amber due to vacancies and sickness absence. Twice-weekly staffing reviews and deployment adjustments continue to maintain safety, supported by matrons and specialist midwives.</w:t>
      </w:r>
    </w:p>
    <w:p w14:paraId="192AAF0A" w14:textId="321555C1" w:rsidR="00D52D15" w:rsidRPr="00D52D15" w:rsidRDefault="003C22F7" w:rsidP="00D52D15">
      <w:pPr>
        <w:pStyle w:val="NormalWeb"/>
        <w:rPr>
          <w:rFonts w:ascii="Arial" w:eastAsia="Times New Roman" w:hAnsi="Arial" w:cs="Arial"/>
          <w:sz w:val="22"/>
          <w:szCs w:val="22"/>
          <w:lang w:eastAsia="en-GB"/>
        </w:rPr>
      </w:pPr>
      <w:r w:rsidRPr="00D52D15">
        <w:rPr>
          <w:rFonts w:ascii="Arial" w:eastAsia="Times New Roman" w:hAnsi="Arial" w:cs="Arial"/>
          <w:b/>
          <w:color w:val="005EB8"/>
          <w:sz w:val="22"/>
          <w:szCs w:val="22"/>
          <w:lang w:eastAsia="en-GB"/>
        </w:rPr>
        <w:t>Emergency Departments</w:t>
      </w:r>
      <w:r w:rsidR="00D52D15" w:rsidRPr="00D52D15">
        <w:rPr>
          <w:rFonts w:ascii="Arial" w:eastAsia="Times New Roman" w:hAnsi="Arial" w:cs="Arial"/>
          <w:b/>
          <w:color w:val="005EB8"/>
          <w:sz w:val="22"/>
          <w:szCs w:val="22"/>
          <w:lang w:eastAsia="en-GB"/>
        </w:rPr>
        <w:t xml:space="preserve"> – </w:t>
      </w:r>
      <w:r w:rsidR="00D52D15" w:rsidRPr="00D52D15">
        <w:rPr>
          <w:rFonts w:ascii="Arial" w:eastAsia="Times New Roman" w:hAnsi="Arial" w:cs="Arial"/>
          <w:sz w:val="22"/>
          <w:szCs w:val="22"/>
          <w:lang w:eastAsia="en-GB"/>
        </w:rPr>
        <w:t xml:space="preserve">While national safer staffing reporting excludes Emergency Departments, local data for Adult and Paediatric EDs is included for assurance </w:t>
      </w:r>
      <w:r w:rsidR="00D52D15" w:rsidRPr="00D52D15">
        <w:rPr>
          <w:rFonts w:ascii="Arial" w:eastAsia="Times New Roman" w:hAnsi="Arial" w:cs="Arial"/>
          <w:b/>
          <w:bCs/>
          <w:sz w:val="22"/>
          <w:szCs w:val="22"/>
          <w:lang w:eastAsia="en-GB"/>
        </w:rPr>
        <w:t>(Appendix 1, Table 1b and 1c).</w:t>
      </w:r>
      <w:r w:rsidR="00D52D15" w:rsidRPr="00D52D15">
        <w:rPr>
          <w:rFonts w:ascii="Arial" w:eastAsia="Times New Roman" w:hAnsi="Arial" w:cs="Arial"/>
          <w:sz w:val="22"/>
          <w:szCs w:val="22"/>
          <w:lang w:eastAsia="en-GB"/>
        </w:rPr>
        <w:t xml:space="preserve"> Both EDs maintained stable overall and RN fill rates in December. However, Paediatric ED saw an approximate 8% drop in HCSW fill, highlighting ongoing fragility. Shift profiling changes introduced in December are expected to improve resilience.</w:t>
      </w:r>
    </w:p>
    <w:p w14:paraId="6CD459E9" w14:textId="1589CF67" w:rsidR="003C22F7" w:rsidRDefault="003C22F7" w:rsidP="00D52D15">
      <w:pPr>
        <w:pStyle w:val="NormalWeb"/>
        <w:rPr>
          <w:rFonts w:ascii="Arial" w:eastAsia="Times New Roman" w:hAnsi="Arial" w:cs="Arial"/>
          <w:lang w:eastAsia="en-GB"/>
        </w:rPr>
      </w:pPr>
    </w:p>
    <w:p w14:paraId="69171776" w14:textId="77803B14" w:rsidR="007B06B3" w:rsidRPr="007B06B3" w:rsidRDefault="003C22F7" w:rsidP="007B06B3">
      <w:pPr>
        <w:spacing w:line="240" w:lineRule="auto"/>
        <w:rPr>
          <w:rFonts w:ascii="Arial" w:eastAsia="Times New Roman" w:hAnsi="Arial" w:cs="Arial"/>
          <w:b/>
          <w:bCs/>
          <w:lang w:eastAsia="en-GB"/>
        </w:rPr>
      </w:pPr>
      <w:r w:rsidRPr="003C22F7">
        <w:rPr>
          <w:rFonts w:ascii="Arial" w:eastAsia="Times New Roman" w:hAnsi="Arial" w:cs="Arial"/>
          <w:b/>
          <w:color w:val="005EB8"/>
          <w:lang w:eastAsia="en-GB"/>
        </w:rPr>
        <w:lastRenderedPageBreak/>
        <w:t xml:space="preserve">Enhanced Care – </w:t>
      </w:r>
      <w:r w:rsidR="007B06B3" w:rsidRPr="007B06B3">
        <w:rPr>
          <w:rFonts w:ascii="Arial" w:eastAsia="Times New Roman" w:hAnsi="Arial" w:cs="Arial"/>
          <w:lang w:eastAsia="en-GB"/>
        </w:rPr>
        <w:t>ETOC delivery in December relied entirely on temporary staff for registered hours (bank/agency) with no substantive registered contribution, and most unregistered hours were covered by bank staff. Despite this, there was a significant shortfall in unregistered ETOC (substantial unfilled hours), evidencing a structural establishment gap and continuing bank</w:t>
      </w:r>
      <w:r w:rsidR="007B06B3" w:rsidRPr="007B06B3">
        <w:rPr>
          <w:rFonts w:ascii="Arial" w:eastAsia="Times New Roman" w:hAnsi="Arial" w:cs="Arial"/>
          <w:lang w:eastAsia="en-GB"/>
        </w:rPr>
        <w:noBreakHyphen/>
        <w:t>spend pressure.</w:t>
      </w:r>
      <w:r w:rsidR="007B06B3">
        <w:rPr>
          <w:rFonts w:ascii="Arial" w:eastAsia="Times New Roman" w:hAnsi="Arial" w:cs="Arial"/>
          <w:lang w:eastAsia="en-GB"/>
        </w:rPr>
        <w:t xml:space="preserve"> </w:t>
      </w:r>
      <w:r w:rsidR="007B06B3">
        <w:rPr>
          <w:rFonts w:ascii="Arial" w:eastAsia="Times New Roman" w:hAnsi="Arial" w:cs="Arial"/>
          <w:b/>
          <w:bCs/>
          <w:lang w:eastAsia="en-GB"/>
        </w:rPr>
        <w:t>(Appendix 1, Table 1d)</w:t>
      </w:r>
    </w:p>
    <w:p w14:paraId="35EBEF79" w14:textId="1D959AD3" w:rsidR="007B06B3" w:rsidRPr="007B06B3" w:rsidRDefault="007B06B3" w:rsidP="007B06B3">
      <w:pPr>
        <w:spacing w:before="100" w:beforeAutospacing="1" w:after="100" w:afterAutospacing="1" w:line="240" w:lineRule="auto"/>
        <w:rPr>
          <w:rFonts w:ascii="Arial" w:eastAsia="Times New Roman" w:hAnsi="Arial" w:cs="Arial"/>
          <w:lang w:eastAsia="en-GB"/>
        </w:rPr>
      </w:pPr>
      <w:r w:rsidRPr="007B06B3">
        <w:rPr>
          <w:rFonts w:ascii="Arial" w:eastAsia="Times New Roman" w:hAnsi="Arial" w:cs="Arial"/>
          <w:lang w:eastAsia="en-GB"/>
        </w:rPr>
        <w:t>Actions: A Task &amp; Finish Group will finalise a sustainable ETOC model</w:t>
      </w:r>
      <w:r>
        <w:rPr>
          <w:rFonts w:ascii="Arial" w:eastAsia="Times New Roman" w:hAnsi="Arial" w:cs="Arial"/>
          <w:lang w:eastAsia="en-GB"/>
        </w:rPr>
        <w:t xml:space="preserve"> – </w:t>
      </w:r>
      <w:r w:rsidRPr="007B06B3">
        <w:rPr>
          <w:rFonts w:ascii="Arial" w:eastAsia="Times New Roman" w:hAnsi="Arial" w:cs="Arial"/>
          <w:lang w:eastAsia="en-GB"/>
        </w:rPr>
        <w:t>shifting capacity to substantive roles, tightening governance around request/approval and closure, and reducing reliance on bank/agency through clearer risk criteria, training, and improved rostering.</w:t>
      </w:r>
    </w:p>
    <w:p w14:paraId="15D087FB" w14:textId="374EB41F" w:rsidR="002F35EC" w:rsidRPr="00EC22A3" w:rsidRDefault="002F35EC" w:rsidP="007B06B3">
      <w:pPr>
        <w:spacing w:before="100" w:beforeAutospacing="1" w:after="100" w:afterAutospacing="1" w:line="240" w:lineRule="auto"/>
        <w:rPr>
          <w:rFonts w:ascii="Arial" w:hAnsi="Arial" w:cs="Arial"/>
          <w:bCs/>
        </w:rPr>
      </w:pPr>
      <w:r w:rsidRPr="00EC22A3">
        <w:rPr>
          <w:rFonts w:ascii="Arial" w:hAnsi="Arial" w:cs="Arial"/>
          <w:b/>
          <w:bCs/>
          <w:color w:val="005EB8"/>
        </w:rPr>
        <w:t>3.1</w:t>
      </w:r>
      <w:r w:rsidRPr="00EC22A3">
        <w:rPr>
          <w:rFonts w:ascii="Arial" w:hAnsi="Arial" w:cs="Arial"/>
          <w:b/>
          <w:bCs/>
          <w:color w:val="005EB8"/>
        </w:rPr>
        <w:tab/>
        <w:t>Wards with &lt; 75% average fill rate</w:t>
      </w:r>
      <w:bookmarkStart w:id="0" w:name="_Hlk185339204"/>
    </w:p>
    <w:p w14:paraId="7BFD5CB4" w14:textId="3428C396" w:rsidR="002F35EC" w:rsidRPr="00EC22A3" w:rsidRDefault="002F35EC" w:rsidP="002F35EC">
      <w:pPr>
        <w:spacing w:before="240" w:line="240" w:lineRule="auto"/>
        <w:jc w:val="both"/>
        <w:rPr>
          <w:rFonts w:ascii="Arial" w:hAnsi="Arial" w:cs="Arial"/>
        </w:rPr>
      </w:pPr>
      <w:r w:rsidRPr="00EC22A3">
        <w:rPr>
          <w:rFonts w:ascii="Arial" w:hAnsi="Arial" w:cs="Arial"/>
        </w:rPr>
        <w:t xml:space="preserve">No wards recorded an </w:t>
      </w:r>
      <w:r w:rsidRPr="00EC22A3">
        <w:rPr>
          <w:rStyle w:val="Strong"/>
          <w:rFonts w:ascii="Arial" w:hAnsi="Arial" w:cs="Arial"/>
          <w:b w:val="0"/>
          <w:bCs w:val="0"/>
        </w:rPr>
        <w:t>average fill rate below 75%</w:t>
      </w:r>
      <w:r w:rsidRPr="00EC22A3">
        <w:rPr>
          <w:rFonts w:ascii="Arial" w:hAnsi="Arial" w:cs="Arial"/>
        </w:rPr>
        <w:t xml:space="preserve"> during </w:t>
      </w:r>
      <w:r w:rsidR="007122D6" w:rsidRPr="00EC22A3">
        <w:rPr>
          <w:rStyle w:val="Strong"/>
          <w:rFonts w:ascii="Arial" w:hAnsi="Arial" w:cs="Arial"/>
          <w:b w:val="0"/>
          <w:bCs w:val="0"/>
        </w:rPr>
        <w:t>Dec</w:t>
      </w:r>
      <w:r w:rsidRPr="00EC22A3">
        <w:rPr>
          <w:rStyle w:val="Strong"/>
          <w:rFonts w:ascii="Arial" w:hAnsi="Arial" w:cs="Arial"/>
          <w:b w:val="0"/>
          <w:bCs w:val="0"/>
        </w:rPr>
        <w:t>ember 2025</w:t>
      </w:r>
      <w:r w:rsidRPr="00EC22A3">
        <w:rPr>
          <w:rFonts w:ascii="Arial" w:hAnsi="Arial" w:cs="Arial"/>
        </w:rPr>
        <w:t>.</w:t>
      </w:r>
    </w:p>
    <w:p w14:paraId="41DA7242" w14:textId="77777777" w:rsidR="002F35EC" w:rsidRPr="00EC22A3" w:rsidRDefault="002F35EC" w:rsidP="002F35EC">
      <w:pPr>
        <w:spacing w:before="240" w:line="240" w:lineRule="auto"/>
        <w:jc w:val="both"/>
        <w:rPr>
          <w:rFonts w:ascii="Arial" w:hAnsi="Arial" w:cs="Arial"/>
          <w:b/>
          <w:color w:val="005EB8"/>
        </w:rPr>
      </w:pPr>
      <w:r w:rsidRPr="00EC22A3">
        <w:rPr>
          <w:rFonts w:ascii="Arial" w:hAnsi="Arial" w:cs="Arial"/>
          <w:b/>
          <w:color w:val="005EB8"/>
        </w:rPr>
        <w:t>3.2</w:t>
      </w:r>
      <w:r w:rsidRPr="00EC22A3">
        <w:rPr>
          <w:rFonts w:ascii="Arial" w:hAnsi="Arial" w:cs="Arial"/>
          <w:b/>
          <w:color w:val="005EB8"/>
        </w:rPr>
        <w:tab/>
      </w:r>
      <w:r w:rsidRPr="00EC22A3">
        <w:rPr>
          <w:rFonts w:ascii="Arial" w:hAnsi="Arial" w:cs="Arial"/>
          <w:b/>
          <w:bCs/>
          <w:color w:val="005EB8"/>
        </w:rPr>
        <w:t xml:space="preserve">Wards with &gt; 100% average fill rate </w:t>
      </w:r>
    </w:p>
    <w:bookmarkEnd w:id="0"/>
    <w:p w14:paraId="516B6E18" w14:textId="5B86BFF3" w:rsidR="007006E6" w:rsidRPr="007006E6" w:rsidRDefault="001E41C5" w:rsidP="007006E6">
      <w:pPr>
        <w:spacing w:before="100" w:beforeAutospacing="1" w:after="100" w:afterAutospacing="1" w:line="240" w:lineRule="auto"/>
        <w:rPr>
          <w:rFonts w:ascii="Arial" w:eastAsia="Times New Roman" w:hAnsi="Arial" w:cs="Arial"/>
          <w:lang w:eastAsia="en-GB"/>
        </w:rPr>
      </w:pPr>
      <w:r w:rsidRPr="001E41C5">
        <w:rPr>
          <w:rFonts w:ascii="Arial" w:hAnsi="Arial" w:cs="Arial"/>
          <w:b/>
          <w:bCs/>
          <w:color w:val="005EB8"/>
        </w:rPr>
        <w:t>Henry Moore</w:t>
      </w:r>
      <w:r w:rsidR="00EC22A3" w:rsidRPr="00EC22A3">
        <w:rPr>
          <w:rFonts w:ascii="Arial" w:eastAsia="Times New Roman" w:hAnsi="Arial" w:cs="Arial"/>
          <w:lang w:eastAsia="en-GB"/>
        </w:rPr>
        <w:t xml:space="preserve"> </w:t>
      </w:r>
      <w:r w:rsidR="007006E6" w:rsidRPr="007006E6">
        <w:rPr>
          <w:rFonts w:ascii="Arial" w:eastAsia="Times New Roman" w:hAnsi="Arial" w:cs="Arial"/>
          <w:lang w:eastAsia="en-GB"/>
        </w:rPr>
        <w:t>Registered fill remains elevated pending full effect of establishment changes applied to the roster from 22 Dec</w:t>
      </w:r>
      <w:r w:rsidR="007006E6">
        <w:rPr>
          <w:rFonts w:ascii="Arial" w:eastAsia="Times New Roman" w:hAnsi="Arial" w:cs="Arial"/>
          <w:lang w:eastAsia="en-GB"/>
        </w:rPr>
        <w:t>ember 2025</w:t>
      </w:r>
      <w:r w:rsidR="007006E6" w:rsidRPr="007006E6">
        <w:rPr>
          <w:rFonts w:ascii="Arial" w:eastAsia="Times New Roman" w:hAnsi="Arial" w:cs="Arial"/>
          <w:lang w:eastAsia="en-GB"/>
        </w:rPr>
        <w:t>; rates are ~10% lower than last month across day and night, showing early alignment.</w:t>
      </w:r>
    </w:p>
    <w:p w14:paraId="6B0BF0F5" w14:textId="2F0DAD5A" w:rsidR="002F35EC" w:rsidRPr="00EC22A3" w:rsidRDefault="00EC22A3" w:rsidP="00EC22A3">
      <w:pPr>
        <w:spacing w:before="100" w:beforeAutospacing="1" w:after="100" w:afterAutospacing="1" w:line="240" w:lineRule="auto"/>
        <w:rPr>
          <w:rFonts w:ascii="Arial" w:eastAsia="Times New Roman" w:hAnsi="Arial" w:cs="Arial"/>
          <w:lang w:eastAsia="en-GB"/>
        </w:rPr>
      </w:pPr>
      <w:r w:rsidRPr="00EC22A3">
        <w:rPr>
          <w:rFonts w:ascii="Arial" w:hAnsi="Arial" w:cs="Arial"/>
          <w:b/>
          <w:bCs/>
          <w:color w:val="005EB8"/>
        </w:rPr>
        <w:t xml:space="preserve">Harvey and </w:t>
      </w:r>
      <w:r w:rsidR="007B06B3">
        <w:rPr>
          <w:rFonts w:ascii="Arial" w:hAnsi="Arial" w:cs="Arial"/>
          <w:b/>
          <w:bCs/>
          <w:color w:val="005EB8"/>
        </w:rPr>
        <w:t>Ray</w:t>
      </w:r>
      <w:r w:rsidRPr="00EC22A3">
        <w:rPr>
          <w:rFonts w:ascii="Arial" w:eastAsia="Times New Roman" w:hAnsi="Arial" w:cs="Arial"/>
          <w:lang w:eastAsia="en-GB"/>
        </w:rPr>
        <w:t xml:space="preserve"> night fill rates above 100% in December were attributable to enhanced care needs, with patients requiring mental health registered nurses during this period.</w:t>
      </w:r>
    </w:p>
    <w:p w14:paraId="6133CE76" w14:textId="0CED50AE" w:rsidR="003278AE" w:rsidRDefault="007945A7" w:rsidP="003F4460">
      <w:pPr>
        <w:shd w:val="clear" w:color="auto" w:fill="FFFFFF" w:themeFill="background1"/>
        <w:spacing w:before="240" w:after="0" w:line="240" w:lineRule="auto"/>
        <w:rPr>
          <w:rFonts w:ascii="Arial" w:hAnsi="Arial" w:cs="Arial"/>
          <w:b/>
          <w:color w:val="005EB8"/>
        </w:rPr>
      </w:pPr>
      <w:r w:rsidRPr="00EC22A3">
        <w:rPr>
          <w:rFonts w:ascii="Arial" w:hAnsi="Arial" w:cs="Arial"/>
          <w:b/>
          <w:color w:val="005EB8"/>
        </w:rPr>
        <w:t>4.</w:t>
      </w:r>
      <w:r w:rsidR="004C2A2C" w:rsidRPr="00EC22A3">
        <w:rPr>
          <w:rFonts w:ascii="Arial" w:hAnsi="Arial" w:cs="Arial"/>
          <w:b/>
          <w:color w:val="005EB8"/>
        </w:rPr>
        <w:t>0</w:t>
      </w:r>
      <w:r w:rsidRPr="00EC22A3">
        <w:rPr>
          <w:rFonts w:ascii="Arial" w:hAnsi="Arial" w:cs="Arial"/>
          <w:b/>
          <w:color w:val="005EB8"/>
        </w:rPr>
        <w:t xml:space="preserve"> </w:t>
      </w:r>
      <w:r w:rsidR="0012522F" w:rsidRPr="00EC22A3">
        <w:rPr>
          <w:rFonts w:ascii="Arial" w:hAnsi="Arial" w:cs="Arial"/>
          <w:b/>
          <w:color w:val="005EB8"/>
        </w:rPr>
        <w:tab/>
      </w:r>
      <w:r w:rsidR="003278AE">
        <w:rPr>
          <w:rFonts w:ascii="Arial" w:hAnsi="Arial" w:cs="Arial"/>
          <w:b/>
          <w:color w:val="005EB8"/>
        </w:rPr>
        <w:t>Redeployment</w:t>
      </w:r>
    </w:p>
    <w:p w14:paraId="19EF3C74" w14:textId="77777777" w:rsidR="00F3354C" w:rsidRPr="007B06B3" w:rsidRDefault="00F3354C" w:rsidP="003278AE">
      <w:pPr>
        <w:spacing w:before="100" w:beforeAutospacing="1" w:after="100" w:afterAutospacing="1" w:line="240" w:lineRule="auto"/>
        <w:rPr>
          <w:rFonts w:ascii="Arial" w:eastAsia="Times New Roman" w:hAnsi="Arial" w:cs="Arial"/>
          <w:lang w:eastAsia="en-GB"/>
        </w:rPr>
      </w:pPr>
      <w:r w:rsidRPr="007B06B3">
        <w:rPr>
          <w:rFonts w:ascii="Arial" w:eastAsia="Times New Roman" w:hAnsi="Arial" w:cs="Arial"/>
          <w:b/>
          <w:bCs/>
          <w:lang w:eastAsia="en-GB"/>
        </w:rPr>
        <w:t xml:space="preserve">Appendix 2 </w:t>
      </w:r>
      <w:r w:rsidRPr="007B06B3">
        <w:rPr>
          <w:rFonts w:ascii="Arial" w:eastAsia="Times New Roman" w:hAnsi="Arial" w:cs="Arial"/>
          <w:lang w:eastAsia="en-GB"/>
        </w:rPr>
        <w:t>outlines the data and trends for this month.</w:t>
      </w:r>
    </w:p>
    <w:p w14:paraId="6AB3B52E" w14:textId="77777777" w:rsidR="007B06B3" w:rsidRPr="007B06B3" w:rsidRDefault="007B06B3" w:rsidP="007B06B3">
      <w:pPr>
        <w:shd w:val="clear" w:color="auto" w:fill="FFFFFF" w:themeFill="background1"/>
        <w:spacing w:before="240" w:after="0" w:line="240" w:lineRule="auto"/>
        <w:rPr>
          <w:rFonts w:ascii="Arial" w:eastAsia="Times New Roman" w:hAnsi="Arial" w:cs="Arial"/>
          <w:lang w:eastAsia="en-GB"/>
        </w:rPr>
      </w:pPr>
      <w:r w:rsidRPr="007B06B3">
        <w:rPr>
          <w:rFonts w:ascii="Arial" w:eastAsia="Times New Roman" w:hAnsi="Arial" w:cs="Arial"/>
          <w:lang w:eastAsia="en-GB"/>
        </w:rPr>
        <w:t>Redeployment continued to support safe staffing through daily safety huddles. In December, substantive redeployment remained broadly consistent with the previous three months, with only a marginal increase of 0.1%, suggesting overall staffing stability.</w:t>
      </w:r>
    </w:p>
    <w:p w14:paraId="0B3A9848" w14:textId="1E0ABFDF" w:rsidR="007B06B3" w:rsidRPr="007B06B3" w:rsidRDefault="007B06B3" w:rsidP="007B06B3">
      <w:pPr>
        <w:shd w:val="clear" w:color="auto" w:fill="FFFFFF" w:themeFill="background1"/>
        <w:spacing w:before="240" w:after="0" w:line="240" w:lineRule="auto"/>
        <w:rPr>
          <w:rFonts w:ascii="Arial" w:eastAsia="Times New Roman" w:hAnsi="Arial" w:cs="Arial"/>
          <w:lang w:eastAsia="en-GB"/>
        </w:rPr>
      </w:pPr>
      <w:r w:rsidRPr="007B06B3">
        <w:rPr>
          <w:rFonts w:ascii="Arial" w:eastAsia="Times New Roman" w:hAnsi="Arial" w:cs="Arial"/>
          <w:lang w:eastAsia="en-GB"/>
        </w:rPr>
        <w:t>John Snow consistently flag</w:t>
      </w:r>
      <w:r>
        <w:rPr>
          <w:rFonts w:ascii="Arial" w:eastAsia="Times New Roman" w:hAnsi="Arial" w:cs="Arial"/>
          <w:lang w:eastAsia="en-GB"/>
        </w:rPr>
        <w:t>s</w:t>
      </w:r>
      <w:r w:rsidRPr="007B06B3">
        <w:rPr>
          <w:rFonts w:ascii="Arial" w:eastAsia="Times New Roman" w:hAnsi="Arial" w:cs="Arial"/>
          <w:lang w:eastAsia="en-GB"/>
        </w:rPr>
        <w:t xml:space="preserve"> as the ward most likely to redeploy staff, while Adult ED remained the largest net receiver, followed by Lister Ward. Governance remains robust, with all redeployments clinically risk-assessed and recorded in SafeCare. Further reductions are anticipated as establishment review changes embed into roster templates.</w:t>
      </w:r>
    </w:p>
    <w:p w14:paraId="7FEC31B5" w14:textId="40CF2A98" w:rsidR="003E0E19" w:rsidRPr="00EC22A3" w:rsidRDefault="003278AE" w:rsidP="003F4460">
      <w:pPr>
        <w:shd w:val="clear" w:color="auto" w:fill="FFFFFF" w:themeFill="background1"/>
        <w:spacing w:before="240" w:after="0" w:line="240" w:lineRule="auto"/>
        <w:rPr>
          <w:rFonts w:ascii="Arial" w:hAnsi="Arial" w:cs="Arial"/>
          <w:b/>
          <w:color w:val="005EB8"/>
        </w:rPr>
      </w:pPr>
      <w:r>
        <w:rPr>
          <w:rFonts w:ascii="Arial" w:hAnsi="Arial" w:cs="Arial"/>
          <w:b/>
          <w:color w:val="005EB8"/>
        </w:rPr>
        <w:t>5.0</w:t>
      </w:r>
      <w:r>
        <w:rPr>
          <w:rFonts w:ascii="Arial" w:hAnsi="Arial" w:cs="Arial"/>
          <w:b/>
          <w:color w:val="005EB8"/>
        </w:rPr>
        <w:tab/>
      </w:r>
      <w:r w:rsidR="003E0E19" w:rsidRPr="00EC22A3">
        <w:rPr>
          <w:rFonts w:ascii="Arial" w:hAnsi="Arial" w:cs="Arial"/>
          <w:b/>
          <w:color w:val="005EB8"/>
        </w:rPr>
        <w:t xml:space="preserve">Care Hours Per Patient </w:t>
      </w:r>
      <w:r w:rsidR="00D5055D" w:rsidRPr="00EC22A3">
        <w:rPr>
          <w:rFonts w:ascii="Arial" w:hAnsi="Arial" w:cs="Arial"/>
          <w:b/>
          <w:color w:val="005EB8"/>
        </w:rPr>
        <w:t>Day</w:t>
      </w:r>
      <w:r w:rsidR="007945A7" w:rsidRPr="00EC22A3">
        <w:rPr>
          <w:rFonts w:ascii="Arial" w:hAnsi="Arial" w:cs="Arial"/>
          <w:b/>
          <w:color w:val="005EB8"/>
        </w:rPr>
        <w:t xml:space="preserve"> (CHPPD)</w:t>
      </w:r>
      <w:r w:rsidR="00F210C8" w:rsidRPr="00EC22A3">
        <w:rPr>
          <w:rFonts w:ascii="Arial" w:hAnsi="Arial" w:cs="Arial"/>
          <w:b/>
          <w:color w:val="005EB8"/>
        </w:rPr>
        <w:t xml:space="preserve"> </w:t>
      </w:r>
    </w:p>
    <w:p w14:paraId="3C7A52D1" w14:textId="77777777" w:rsidR="00EC22A3" w:rsidRPr="00EC22A3" w:rsidRDefault="00EC22A3" w:rsidP="00EC22A3">
      <w:pPr>
        <w:shd w:val="clear" w:color="auto" w:fill="FFFFFF" w:themeFill="background1"/>
        <w:spacing w:before="240" w:after="0" w:line="240" w:lineRule="auto"/>
        <w:rPr>
          <w:rFonts w:ascii="Arial" w:eastAsia="Times New Roman" w:hAnsi="Arial" w:cs="Arial"/>
          <w:lang w:eastAsia="en-GB"/>
        </w:rPr>
      </w:pPr>
      <w:r w:rsidRPr="00EC22A3">
        <w:rPr>
          <w:rFonts w:ascii="Arial" w:eastAsia="Times New Roman" w:hAnsi="Arial" w:cs="Arial"/>
          <w:lang w:eastAsia="en-GB"/>
        </w:rPr>
        <w:t>CHPPD benchmarks staffing levels within the Trust and against peers, helping ensure the right numbers and skill mix. It is calculated by dividing total worked hours (registered and unregistered staff) by the midnight patient count. While a useful indicator of staffing input, CHPPD does not measure care quality or safety and should be considered alongside other quality and patient experience metrics for assurance.</w:t>
      </w:r>
    </w:p>
    <w:p w14:paraId="1BB9DE9E" w14:textId="578BDE06" w:rsidR="00D5055D" w:rsidRPr="007B06B3" w:rsidRDefault="007945A7" w:rsidP="003F4460">
      <w:pPr>
        <w:shd w:val="clear" w:color="auto" w:fill="FFFFFF" w:themeFill="background1"/>
        <w:spacing w:before="240" w:after="0" w:line="240" w:lineRule="auto"/>
        <w:rPr>
          <w:rFonts w:ascii="Arial" w:hAnsi="Arial" w:cs="Arial"/>
          <w:b/>
          <w:color w:val="005EB8"/>
        </w:rPr>
      </w:pPr>
      <w:r w:rsidRPr="007B06B3">
        <w:rPr>
          <w:rFonts w:ascii="Arial" w:hAnsi="Arial" w:cs="Arial"/>
          <w:b/>
          <w:color w:val="005EB8"/>
        </w:rPr>
        <w:t xml:space="preserve">Table 3. </w:t>
      </w:r>
      <w:r w:rsidR="00D5055D" w:rsidRPr="007B06B3">
        <w:rPr>
          <w:rFonts w:ascii="Arial" w:hAnsi="Arial" w:cs="Arial"/>
          <w:b/>
          <w:color w:val="005EB8"/>
        </w:rPr>
        <w:t>Overall Care Hours Per Patient Day (CHPPD)</w:t>
      </w:r>
      <w:r w:rsidR="00B8186D" w:rsidRPr="007B06B3">
        <w:rPr>
          <w:rFonts w:ascii="Arial" w:hAnsi="Arial" w:cs="Arial"/>
          <w:b/>
          <w:color w:val="005EB8"/>
        </w:rPr>
        <w:t xml:space="preserve"> </w:t>
      </w:r>
      <w:r w:rsidR="007122D6" w:rsidRPr="007B06B3">
        <w:rPr>
          <w:rFonts w:ascii="Arial" w:hAnsi="Arial" w:cs="Arial"/>
          <w:b/>
          <w:bCs/>
          <w:color w:val="005EB8"/>
        </w:rPr>
        <w:t>Dec</w:t>
      </w:r>
      <w:r w:rsidR="0057060E" w:rsidRPr="007B06B3">
        <w:rPr>
          <w:rFonts w:ascii="Arial" w:hAnsi="Arial" w:cs="Arial"/>
          <w:b/>
          <w:bCs/>
          <w:color w:val="005EB8"/>
        </w:rPr>
        <w:t>em</w:t>
      </w:r>
      <w:r w:rsidR="00AE20E0" w:rsidRPr="007B06B3">
        <w:rPr>
          <w:rFonts w:ascii="Arial" w:hAnsi="Arial" w:cs="Arial"/>
          <w:b/>
          <w:color w:val="005EB8"/>
        </w:rPr>
        <w:t>ber</w:t>
      </w:r>
      <w:r w:rsidR="001166D3" w:rsidRPr="007B06B3">
        <w:rPr>
          <w:rFonts w:ascii="Arial" w:hAnsi="Arial" w:cs="Arial"/>
          <w:b/>
          <w:color w:val="005EB8"/>
        </w:rPr>
        <w:t xml:space="preserve"> </w:t>
      </w:r>
      <w:r w:rsidR="00977A20" w:rsidRPr="007B06B3">
        <w:rPr>
          <w:rFonts w:ascii="Arial" w:hAnsi="Arial" w:cs="Arial"/>
          <w:b/>
          <w:color w:val="005EB8"/>
        </w:rPr>
        <w:t>2025</w:t>
      </w:r>
      <w:r w:rsidR="00D5055D" w:rsidRPr="007B06B3">
        <w:rPr>
          <w:rFonts w:ascii="Arial" w:hAnsi="Arial" w:cs="Arial"/>
          <w:b/>
          <w:color w:val="005EB8"/>
        </w:rPr>
        <w:t xml:space="preserve"> </w:t>
      </w:r>
    </w:p>
    <w:p w14:paraId="449E096C" w14:textId="77777777" w:rsidR="008236EF" w:rsidRPr="007B06B3" w:rsidRDefault="008236EF" w:rsidP="0026390F">
      <w:pPr>
        <w:shd w:val="clear" w:color="auto" w:fill="FFFFFF" w:themeFill="background1"/>
        <w:spacing w:after="0"/>
        <w:rPr>
          <w:rFonts w:ascii="Arial" w:hAnsi="Arial" w:cs="Arial"/>
          <w:b/>
          <w:color w:val="005EB8"/>
        </w:rPr>
      </w:pPr>
    </w:p>
    <w:tbl>
      <w:tblPr>
        <w:tblStyle w:val="TableGrid"/>
        <w:tblW w:w="9698" w:type="dxa"/>
        <w:tblLook w:val="04A0" w:firstRow="1" w:lastRow="0" w:firstColumn="1" w:lastColumn="0" w:noHBand="0" w:noVBand="1"/>
      </w:tblPr>
      <w:tblGrid>
        <w:gridCol w:w="3227"/>
        <w:gridCol w:w="3485"/>
        <w:gridCol w:w="2986"/>
      </w:tblGrid>
      <w:tr w:rsidR="00D5055D" w:rsidRPr="007B06B3" w14:paraId="677B85FD" w14:textId="77777777" w:rsidTr="002F35EC">
        <w:trPr>
          <w:trHeight w:val="298"/>
        </w:trPr>
        <w:tc>
          <w:tcPr>
            <w:tcW w:w="3227" w:type="dxa"/>
            <w:shd w:val="clear" w:color="auto" w:fill="B4C6E7" w:themeFill="accent1" w:themeFillTint="66"/>
            <w:vAlign w:val="center"/>
          </w:tcPr>
          <w:p w14:paraId="7DDC4CA5" w14:textId="77777777" w:rsidR="00D5055D" w:rsidRPr="007B06B3" w:rsidRDefault="00D5055D" w:rsidP="00D5055D">
            <w:pPr>
              <w:spacing w:after="0"/>
              <w:jc w:val="center"/>
              <w:rPr>
                <w:rFonts w:ascii="Arial" w:hAnsi="Arial" w:cs="Arial"/>
              </w:rPr>
            </w:pPr>
            <w:r w:rsidRPr="007B06B3">
              <w:rPr>
                <w:rFonts w:ascii="Arial" w:hAnsi="Arial" w:cs="Arial"/>
              </w:rPr>
              <w:t>Registered CHPPD</w:t>
            </w:r>
          </w:p>
        </w:tc>
        <w:tc>
          <w:tcPr>
            <w:tcW w:w="3485" w:type="dxa"/>
            <w:shd w:val="clear" w:color="auto" w:fill="B4C6E7" w:themeFill="accent1" w:themeFillTint="66"/>
            <w:vAlign w:val="center"/>
          </w:tcPr>
          <w:p w14:paraId="07756309" w14:textId="77777777" w:rsidR="00D5055D" w:rsidRPr="007B06B3" w:rsidRDefault="00D5055D" w:rsidP="00D5055D">
            <w:pPr>
              <w:spacing w:after="0"/>
              <w:jc w:val="center"/>
              <w:rPr>
                <w:rFonts w:ascii="Arial" w:hAnsi="Arial" w:cs="Arial"/>
              </w:rPr>
            </w:pPr>
            <w:r w:rsidRPr="007B06B3">
              <w:rPr>
                <w:rFonts w:ascii="Arial" w:hAnsi="Arial" w:cs="Arial"/>
              </w:rPr>
              <w:t>Unregistered CHPPD</w:t>
            </w:r>
          </w:p>
        </w:tc>
        <w:tc>
          <w:tcPr>
            <w:tcW w:w="2986" w:type="dxa"/>
            <w:shd w:val="clear" w:color="auto" w:fill="B4C6E7" w:themeFill="accent1" w:themeFillTint="66"/>
            <w:vAlign w:val="center"/>
          </w:tcPr>
          <w:p w14:paraId="3D6504F2" w14:textId="77777777" w:rsidR="00D5055D" w:rsidRPr="007B06B3" w:rsidRDefault="00D5055D" w:rsidP="00D5055D">
            <w:pPr>
              <w:spacing w:after="0"/>
              <w:jc w:val="center"/>
              <w:rPr>
                <w:rFonts w:ascii="Arial" w:hAnsi="Arial" w:cs="Arial"/>
              </w:rPr>
            </w:pPr>
            <w:r w:rsidRPr="007B06B3">
              <w:rPr>
                <w:rFonts w:ascii="Arial" w:hAnsi="Arial" w:cs="Arial"/>
              </w:rPr>
              <w:t>Total CHPPD</w:t>
            </w:r>
          </w:p>
        </w:tc>
      </w:tr>
      <w:tr w:rsidR="002F19BE" w:rsidRPr="007B06B3" w14:paraId="73D6DF54" w14:textId="77777777" w:rsidTr="002F35EC">
        <w:trPr>
          <w:trHeight w:val="305"/>
        </w:trPr>
        <w:tc>
          <w:tcPr>
            <w:tcW w:w="3227" w:type="dxa"/>
          </w:tcPr>
          <w:p w14:paraId="08D01F18" w14:textId="34043952" w:rsidR="002F19BE" w:rsidRPr="007B06B3" w:rsidRDefault="002F19BE" w:rsidP="002F19BE">
            <w:pPr>
              <w:spacing w:after="0"/>
              <w:jc w:val="center"/>
              <w:rPr>
                <w:rFonts w:ascii="Arial" w:hAnsi="Arial" w:cs="Arial"/>
              </w:rPr>
            </w:pPr>
            <w:r w:rsidRPr="007B06B3">
              <w:rPr>
                <w:rFonts w:ascii="Arial" w:hAnsi="Arial" w:cs="Arial"/>
              </w:rPr>
              <w:t>5.</w:t>
            </w:r>
            <w:r w:rsidR="003A162A" w:rsidRPr="007B06B3">
              <w:rPr>
                <w:rFonts w:ascii="Arial" w:hAnsi="Arial" w:cs="Arial"/>
              </w:rPr>
              <w:t>2</w:t>
            </w:r>
          </w:p>
        </w:tc>
        <w:tc>
          <w:tcPr>
            <w:tcW w:w="3485" w:type="dxa"/>
          </w:tcPr>
          <w:p w14:paraId="33458993" w14:textId="667EDA29" w:rsidR="002F19BE" w:rsidRPr="007B06B3" w:rsidRDefault="00AE20E0" w:rsidP="002F19BE">
            <w:pPr>
              <w:spacing w:after="0"/>
              <w:jc w:val="center"/>
              <w:rPr>
                <w:rFonts w:ascii="Arial" w:hAnsi="Arial" w:cs="Arial"/>
              </w:rPr>
            </w:pPr>
            <w:r w:rsidRPr="007B06B3">
              <w:rPr>
                <w:rFonts w:ascii="Arial" w:hAnsi="Arial" w:cs="Arial"/>
              </w:rPr>
              <w:t>3.</w:t>
            </w:r>
            <w:r w:rsidR="00BD2B04" w:rsidRPr="007B06B3">
              <w:rPr>
                <w:rFonts w:ascii="Arial" w:hAnsi="Arial" w:cs="Arial"/>
              </w:rPr>
              <w:t>0</w:t>
            </w:r>
          </w:p>
        </w:tc>
        <w:tc>
          <w:tcPr>
            <w:tcW w:w="2986" w:type="dxa"/>
          </w:tcPr>
          <w:p w14:paraId="0DBBAC8A" w14:textId="124475C0" w:rsidR="002F19BE" w:rsidRPr="007B06B3" w:rsidRDefault="003A162A" w:rsidP="002F19BE">
            <w:pPr>
              <w:spacing w:after="0"/>
              <w:jc w:val="center"/>
              <w:rPr>
                <w:rFonts w:ascii="Arial" w:hAnsi="Arial" w:cs="Arial"/>
              </w:rPr>
            </w:pPr>
            <w:r w:rsidRPr="007B06B3">
              <w:rPr>
                <w:rFonts w:ascii="Arial" w:hAnsi="Arial" w:cs="Arial"/>
              </w:rPr>
              <w:t>8.2</w:t>
            </w:r>
          </w:p>
        </w:tc>
      </w:tr>
    </w:tbl>
    <w:p w14:paraId="17423919" w14:textId="1A4A135E" w:rsidR="002F35EC" w:rsidRPr="007B06B3" w:rsidRDefault="002F35EC" w:rsidP="002F35EC">
      <w:pPr>
        <w:spacing w:before="100" w:beforeAutospacing="1" w:after="100" w:afterAutospacing="1" w:line="240" w:lineRule="auto"/>
        <w:rPr>
          <w:rFonts w:ascii="Arial" w:eastAsia="Times New Roman" w:hAnsi="Arial" w:cs="Arial"/>
          <w:lang w:eastAsia="en-GB"/>
        </w:rPr>
      </w:pPr>
      <w:r w:rsidRPr="007B06B3">
        <w:rPr>
          <w:rFonts w:ascii="Arial" w:eastAsia="Times New Roman" w:hAnsi="Arial" w:cs="Arial"/>
          <w:b/>
          <w:bCs/>
          <w:lang w:eastAsia="en-GB"/>
        </w:rPr>
        <w:t xml:space="preserve">Appendix </w:t>
      </w:r>
      <w:r w:rsidR="00F3354C" w:rsidRPr="007B06B3">
        <w:rPr>
          <w:rFonts w:ascii="Arial" w:eastAsia="Times New Roman" w:hAnsi="Arial" w:cs="Arial"/>
          <w:b/>
          <w:bCs/>
          <w:lang w:eastAsia="en-GB"/>
        </w:rPr>
        <w:t>3</w:t>
      </w:r>
      <w:r w:rsidRPr="007B06B3">
        <w:rPr>
          <w:rFonts w:ascii="Arial" w:eastAsia="Times New Roman" w:hAnsi="Arial" w:cs="Arial"/>
          <w:lang w:eastAsia="en-GB"/>
        </w:rPr>
        <w:t xml:space="preserve"> provides a detailed breakdown of CHPPD by ward and division for </w:t>
      </w:r>
      <w:r w:rsidR="007122D6" w:rsidRPr="007B06B3">
        <w:rPr>
          <w:rFonts w:ascii="Arial" w:eastAsia="Times New Roman" w:hAnsi="Arial" w:cs="Arial"/>
          <w:lang w:eastAsia="en-GB"/>
        </w:rPr>
        <w:t>Dec</w:t>
      </w:r>
      <w:r w:rsidRPr="007B06B3">
        <w:rPr>
          <w:rFonts w:ascii="Arial" w:eastAsia="Times New Roman" w:hAnsi="Arial" w:cs="Arial"/>
          <w:lang w:eastAsia="en-GB"/>
        </w:rPr>
        <w:t>ember 2025.</w:t>
      </w:r>
    </w:p>
    <w:p w14:paraId="428E21FB" w14:textId="77777777" w:rsidR="003D7E5C" w:rsidRPr="007B06B3" w:rsidRDefault="003D7E5C" w:rsidP="00E77D91">
      <w:pPr>
        <w:spacing w:after="0"/>
        <w:rPr>
          <w:rFonts w:ascii="Arial" w:hAnsi="Arial" w:cs="Arial"/>
          <w:b/>
          <w:color w:val="005EB8"/>
        </w:rPr>
      </w:pPr>
    </w:p>
    <w:p w14:paraId="0B094A1D" w14:textId="77777777" w:rsidR="00320228" w:rsidRDefault="00320228" w:rsidP="00E77D91">
      <w:pPr>
        <w:spacing w:after="0"/>
        <w:rPr>
          <w:rFonts w:ascii="Arial" w:hAnsi="Arial" w:cs="Arial"/>
          <w:b/>
          <w:color w:val="005EB8"/>
        </w:rPr>
      </w:pPr>
    </w:p>
    <w:p w14:paraId="36130252" w14:textId="77777777" w:rsidR="00320228" w:rsidRDefault="00320228" w:rsidP="00E77D91">
      <w:pPr>
        <w:spacing w:after="0"/>
        <w:rPr>
          <w:rFonts w:ascii="Arial" w:hAnsi="Arial" w:cs="Arial"/>
          <w:b/>
          <w:color w:val="005EB8"/>
        </w:rPr>
      </w:pPr>
    </w:p>
    <w:p w14:paraId="26BA1735" w14:textId="7E6CFC2B" w:rsidR="003F4460" w:rsidRPr="007B06B3" w:rsidRDefault="00E77D91" w:rsidP="00E77D91">
      <w:pPr>
        <w:spacing w:after="0"/>
        <w:rPr>
          <w:rFonts w:ascii="Arial" w:hAnsi="Arial" w:cs="Arial"/>
          <w:b/>
          <w:color w:val="005EB8"/>
        </w:rPr>
      </w:pPr>
      <w:r w:rsidRPr="007B06B3">
        <w:rPr>
          <w:rFonts w:ascii="Arial" w:hAnsi="Arial" w:cs="Arial"/>
          <w:b/>
          <w:color w:val="005EB8"/>
        </w:rPr>
        <w:lastRenderedPageBreak/>
        <w:t xml:space="preserve">Table 4. CHPPD Trend </w:t>
      </w:r>
      <w:r w:rsidR="003D7E5C" w:rsidRPr="007B06B3">
        <w:rPr>
          <w:rFonts w:ascii="Arial" w:hAnsi="Arial" w:cs="Arial"/>
          <w:b/>
          <w:color w:val="005EB8"/>
        </w:rPr>
        <w:t>and benchmarking with peer and national data</w:t>
      </w:r>
    </w:p>
    <w:p w14:paraId="23707561" w14:textId="749DAC6A" w:rsidR="009E73C0" w:rsidRPr="007B06B3" w:rsidRDefault="009E73C0" w:rsidP="003F4460">
      <w:pPr>
        <w:spacing w:before="240" w:after="0" w:line="240" w:lineRule="auto"/>
        <w:rPr>
          <w:rFonts w:ascii="Arial" w:hAnsi="Arial" w:cs="Arial"/>
          <w:b/>
          <w:color w:val="005EB8"/>
        </w:rPr>
      </w:pPr>
      <w:r w:rsidRPr="007B06B3">
        <w:rPr>
          <w:rFonts w:ascii="Arial" w:hAnsi="Arial" w:cs="Arial"/>
          <w:b/>
          <w:noProof/>
          <w:color w:val="005EB8"/>
        </w:rPr>
        <w:drawing>
          <wp:inline distT="0" distB="0" distL="0" distR="0" wp14:anchorId="5F80910E" wp14:editId="376AB95A">
            <wp:extent cx="5086283" cy="3310672"/>
            <wp:effectExtent l="0" t="0" r="635" b="4445"/>
            <wp:docPr id="2139786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96900" cy="3317583"/>
                    </a:xfrm>
                    <a:prstGeom prst="rect">
                      <a:avLst/>
                    </a:prstGeom>
                    <a:noFill/>
                  </pic:spPr>
                </pic:pic>
              </a:graphicData>
            </a:graphic>
          </wp:inline>
        </w:drawing>
      </w:r>
    </w:p>
    <w:p w14:paraId="7CE371D2" w14:textId="1B3A90E7" w:rsidR="003D7E5C" w:rsidRPr="003D7E5C" w:rsidRDefault="003D7E5C" w:rsidP="003D7E5C">
      <w:pPr>
        <w:spacing w:before="240" w:after="0" w:line="240" w:lineRule="auto"/>
        <w:rPr>
          <w:rFonts w:ascii="Arial" w:hAnsi="Arial" w:cs="Arial"/>
          <w:bCs/>
        </w:rPr>
      </w:pPr>
      <w:r w:rsidRPr="007B06B3">
        <w:rPr>
          <w:rFonts w:ascii="Arial" w:hAnsi="Arial" w:cs="Arial"/>
          <w:bCs/>
        </w:rPr>
        <w:t xml:space="preserve">Peer organisations are: </w:t>
      </w:r>
      <w:r w:rsidRPr="003D7E5C">
        <w:rPr>
          <w:rFonts w:ascii="Arial" w:hAnsi="Arial" w:cs="Arial"/>
          <w:bCs/>
        </w:rPr>
        <w:t>East and North Hertfordshire NHS Trust and West Hertfordshire Teaching Hospitals NHS Trust. The Trust’s CHPPD remains similar to peers but below national median benchmarks.</w:t>
      </w:r>
    </w:p>
    <w:p w14:paraId="4C2035C8" w14:textId="230016A2" w:rsidR="00A47936" w:rsidRPr="00EC22A3" w:rsidRDefault="00F3354C" w:rsidP="003F4460">
      <w:pPr>
        <w:spacing w:before="240" w:after="0" w:line="240" w:lineRule="auto"/>
        <w:rPr>
          <w:rFonts w:ascii="Arial" w:hAnsi="Arial" w:cs="Arial"/>
        </w:rPr>
      </w:pPr>
      <w:r>
        <w:rPr>
          <w:rFonts w:ascii="Arial" w:hAnsi="Arial" w:cs="Arial"/>
          <w:b/>
          <w:color w:val="005EB8"/>
        </w:rPr>
        <w:t>6</w:t>
      </w:r>
      <w:r w:rsidR="00320056" w:rsidRPr="00EC22A3">
        <w:rPr>
          <w:rFonts w:ascii="Arial" w:hAnsi="Arial" w:cs="Arial"/>
          <w:b/>
          <w:color w:val="005EB8"/>
        </w:rPr>
        <w:t xml:space="preserve">.0 </w:t>
      </w:r>
      <w:r w:rsidR="0012522F" w:rsidRPr="00EC22A3">
        <w:rPr>
          <w:rFonts w:ascii="Arial" w:hAnsi="Arial" w:cs="Arial"/>
          <w:b/>
          <w:color w:val="005EB8"/>
        </w:rPr>
        <w:tab/>
      </w:r>
      <w:r w:rsidR="00320056" w:rsidRPr="00EC22A3">
        <w:rPr>
          <w:rFonts w:ascii="Arial" w:hAnsi="Arial" w:cs="Arial"/>
          <w:b/>
          <w:color w:val="005EB8"/>
        </w:rPr>
        <w:t>Quality Indicators</w:t>
      </w:r>
      <w:bookmarkStart w:id="1" w:name="_Hlk166577190"/>
    </w:p>
    <w:p w14:paraId="0ABC08A2" w14:textId="4F64AD8B" w:rsidR="003409FA" w:rsidRPr="00EC22A3" w:rsidRDefault="00F3354C" w:rsidP="003F4460">
      <w:pPr>
        <w:spacing w:before="240" w:after="0" w:line="240" w:lineRule="auto"/>
        <w:rPr>
          <w:rFonts w:ascii="Arial" w:hAnsi="Arial" w:cs="Arial"/>
          <w:b/>
          <w:color w:val="005EB8"/>
        </w:rPr>
      </w:pPr>
      <w:r>
        <w:rPr>
          <w:rFonts w:ascii="Arial" w:hAnsi="Arial" w:cs="Arial"/>
          <w:b/>
          <w:color w:val="005EB8"/>
        </w:rPr>
        <w:t>6</w:t>
      </w:r>
      <w:r w:rsidR="00A47936" w:rsidRPr="00EC22A3">
        <w:rPr>
          <w:rFonts w:ascii="Arial" w:hAnsi="Arial" w:cs="Arial"/>
          <w:b/>
          <w:color w:val="005EB8"/>
        </w:rPr>
        <w:t xml:space="preserve">.1 </w:t>
      </w:r>
      <w:r w:rsidR="0012522F" w:rsidRPr="00EC22A3">
        <w:rPr>
          <w:rFonts w:ascii="Arial" w:hAnsi="Arial" w:cs="Arial"/>
          <w:b/>
          <w:color w:val="005EB8"/>
        </w:rPr>
        <w:tab/>
      </w:r>
      <w:r w:rsidR="003E0E19" w:rsidRPr="00EC22A3">
        <w:rPr>
          <w:rFonts w:ascii="Arial" w:hAnsi="Arial" w:cs="Arial"/>
          <w:b/>
          <w:color w:val="005EB8"/>
        </w:rPr>
        <w:t>Red Flags</w:t>
      </w:r>
      <w:bookmarkEnd w:id="1"/>
      <w:r w:rsidR="003121BF">
        <w:rPr>
          <w:rFonts w:ascii="Arial" w:hAnsi="Arial" w:cs="Arial"/>
          <w:b/>
          <w:color w:val="005EB8"/>
        </w:rPr>
        <w:t xml:space="preserve"> and </w:t>
      </w:r>
      <w:r w:rsidR="003C22F7">
        <w:rPr>
          <w:rFonts w:ascii="Arial" w:hAnsi="Arial" w:cs="Arial"/>
          <w:b/>
          <w:color w:val="005EB8"/>
        </w:rPr>
        <w:t>Incident Reports Relating</w:t>
      </w:r>
      <w:r w:rsidR="003121BF">
        <w:rPr>
          <w:rFonts w:ascii="Arial" w:hAnsi="Arial" w:cs="Arial"/>
          <w:b/>
          <w:color w:val="005EB8"/>
        </w:rPr>
        <w:t xml:space="preserve"> to </w:t>
      </w:r>
      <w:r w:rsidR="003C22F7">
        <w:rPr>
          <w:rFonts w:ascii="Arial" w:hAnsi="Arial" w:cs="Arial"/>
          <w:b/>
          <w:color w:val="005EB8"/>
        </w:rPr>
        <w:t>Staffing</w:t>
      </w:r>
    </w:p>
    <w:p w14:paraId="303CDA66" w14:textId="77777777" w:rsidR="00466834" w:rsidRPr="008F18A3" w:rsidRDefault="00466834" w:rsidP="003C22F7">
      <w:pPr>
        <w:spacing w:before="240" w:after="0" w:line="240" w:lineRule="auto"/>
        <w:rPr>
          <w:rFonts w:ascii="Arial" w:eastAsia="Times New Roman" w:hAnsi="Arial" w:cs="Arial"/>
          <w:lang w:eastAsia="en-GB"/>
        </w:rPr>
      </w:pPr>
      <w:bookmarkStart w:id="2" w:name="_Hlk166584627"/>
      <w:bookmarkStart w:id="3" w:name="_Hlk170891862"/>
      <w:r w:rsidRPr="008F18A3">
        <w:rPr>
          <w:rFonts w:ascii="Arial" w:eastAsia="Times New Roman" w:hAnsi="Arial" w:cs="Arial"/>
          <w:b/>
          <w:bCs/>
          <w:lang w:eastAsia="en-GB"/>
        </w:rPr>
        <w:t xml:space="preserve">Appendix 4 </w:t>
      </w:r>
      <w:r w:rsidRPr="008F18A3">
        <w:rPr>
          <w:rFonts w:ascii="Arial" w:eastAsia="Times New Roman" w:hAnsi="Arial" w:cs="Arial"/>
          <w:lang w:eastAsia="en-GB"/>
        </w:rPr>
        <w:t>outlines data and trends for red flags and staffing incidents.</w:t>
      </w:r>
    </w:p>
    <w:p w14:paraId="307E0730" w14:textId="6A6C33A6" w:rsidR="008F18A3" w:rsidRPr="008F18A3" w:rsidRDefault="008F18A3" w:rsidP="008F18A3">
      <w:pPr>
        <w:spacing w:before="240" w:after="0" w:line="240" w:lineRule="auto"/>
        <w:rPr>
          <w:rFonts w:ascii="Arial" w:eastAsia="Times New Roman" w:hAnsi="Arial" w:cs="Arial"/>
          <w:lang w:eastAsia="en-GB"/>
        </w:rPr>
      </w:pPr>
      <w:r w:rsidRPr="008F18A3">
        <w:rPr>
          <w:rFonts w:ascii="Arial" w:eastAsia="Times New Roman" w:hAnsi="Arial" w:cs="Arial"/>
          <w:lang w:eastAsia="en-GB"/>
        </w:rPr>
        <w:t>Staffing Red Flags are automatically generated when registered staffing falls below 75% of template, these prompt immediate action by the nurse in charge. In December, 69 shifts triggered Nursing Red Flags (+6), with maternity contributing 35 (-4). Hotspots included Birthing Unit, OPAL, and John Snow.</w:t>
      </w:r>
    </w:p>
    <w:p w14:paraId="3E8AFCB8" w14:textId="47963272" w:rsidR="008F18A3" w:rsidRPr="008F18A3" w:rsidRDefault="008F18A3" w:rsidP="008F18A3">
      <w:pPr>
        <w:spacing w:before="240" w:after="0" w:line="240" w:lineRule="auto"/>
        <w:rPr>
          <w:rFonts w:ascii="Arial" w:eastAsia="Times New Roman" w:hAnsi="Arial" w:cs="Arial"/>
          <w:lang w:eastAsia="en-GB"/>
        </w:rPr>
      </w:pPr>
      <w:r w:rsidRPr="008F18A3">
        <w:rPr>
          <w:rFonts w:ascii="Arial" w:eastAsia="Times New Roman" w:hAnsi="Arial" w:cs="Arial"/>
          <w:lang w:eastAsia="en-GB"/>
        </w:rPr>
        <w:t>Across adult inpatient areas, 135 Red Flags were raised via SafeCare (+2), mainly due to RN shortfalls (43) and unmet enhanced care needs (81). Closure compliance remains poor: 123 remain open and only 9 resolved, despite improved reporting. Oversight has been strengthened through daily huddles and training, with closure compliance embedded in preceptorship and Band 6 development programmes.</w:t>
      </w:r>
    </w:p>
    <w:p w14:paraId="3585922D" w14:textId="26DADA2C" w:rsidR="008F18A3" w:rsidRPr="008F18A3" w:rsidRDefault="008F18A3" w:rsidP="008F18A3">
      <w:pPr>
        <w:spacing w:before="240" w:after="0" w:line="240" w:lineRule="auto"/>
        <w:rPr>
          <w:rFonts w:ascii="Arial" w:eastAsia="Times New Roman" w:hAnsi="Arial" w:cs="Arial"/>
          <w:lang w:eastAsia="en-GB"/>
        </w:rPr>
      </w:pPr>
      <w:r w:rsidRPr="008F18A3">
        <w:rPr>
          <w:rFonts w:ascii="Arial" w:eastAsia="Times New Roman" w:hAnsi="Arial" w:cs="Arial"/>
          <w:lang w:eastAsia="en-GB"/>
        </w:rPr>
        <w:t>32 staffing-related incidents were reported via Datix (25 nursing, 7 maternity), a reduction compared to the previous two months. The highest reporting areas were Tye Green, SDEC, and Paediatric A&amp;E, accounting for over half of all incident</w:t>
      </w:r>
      <w:r>
        <w:rPr>
          <w:rFonts w:ascii="Arial" w:eastAsia="Times New Roman" w:hAnsi="Arial" w:cs="Arial"/>
          <w:lang w:eastAsia="en-GB"/>
        </w:rPr>
        <w:t xml:space="preserve"> reports</w:t>
      </w:r>
      <w:r w:rsidRPr="008F18A3">
        <w:rPr>
          <w:rFonts w:ascii="Arial" w:eastAsia="Times New Roman" w:hAnsi="Arial" w:cs="Arial"/>
          <w:lang w:eastAsia="en-GB"/>
        </w:rPr>
        <w:t>.</w:t>
      </w:r>
    </w:p>
    <w:p w14:paraId="2EC3A472" w14:textId="2972C6CF" w:rsidR="00E77D91" w:rsidRPr="00EC22A3" w:rsidRDefault="00F3354C" w:rsidP="003F4460">
      <w:pPr>
        <w:spacing w:before="240" w:after="0" w:line="240" w:lineRule="auto"/>
        <w:rPr>
          <w:rFonts w:ascii="Arial" w:hAnsi="Arial" w:cs="Arial"/>
          <w:b/>
          <w:bCs/>
          <w:color w:val="005EB8"/>
        </w:rPr>
      </w:pPr>
      <w:r>
        <w:rPr>
          <w:rFonts w:ascii="Arial" w:hAnsi="Arial" w:cs="Arial"/>
          <w:b/>
          <w:color w:val="005EB8"/>
        </w:rPr>
        <w:t>6</w:t>
      </w:r>
      <w:r w:rsidR="00A47936" w:rsidRPr="00EC22A3">
        <w:rPr>
          <w:rFonts w:ascii="Arial" w:hAnsi="Arial" w:cs="Arial"/>
          <w:b/>
          <w:color w:val="005EB8"/>
        </w:rPr>
        <w:t xml:space="preserve">.2 </w:t>
      </w:r>
      <w:r w:rsidR="0012522F" w:rsidRPr="00EC22A3">
        <w:rPr>
          <w:rFonts w:ascii="Arial" w:hAnsi="Arial" w:cs="Arial"/>
          <w:b/>
          <w:color w:val="005EB8"/>
        </w:rPr>
        <w:tab/>
      </w:r>
      <w:r w:rsidR="00300346" w:rsidRPr="00EC22A3">
        <w:rPr>
          <w:rFonts w:ascii="Arial" w:hAnsi="Arial" w:cs="Arial"/>
          <w:b/>
          <w:bCs/>
          <w:color w:val="005EB8"/>
        </w:rPr>
        <w:t>Falls</w:t>
      </w:r>
      <w:r w:rsidR="003A275C" w:rsidRPr="00EC22A3">
        <w:rPr>
          <w:rFonts w:ascii="Arial" w:hAnsi="Arial" w:cs="Arial"/>
          <w:b/>
          <w:bCs/>
          <w:color w:val="005EB8"/>
        </w:rPr>
        <w:t>, pressure ulcers and complaints, PALS and compliments</w:t>
      </w:r>
    </w:p>
    <w:p w14:paraId="2548B2E7" w14:textId="77777777" w:rsidR="00F43DF8" w:rsidRDefault="00F43DF8" w:rsidP="00F43DF8">
      <w:pPr>
        <w:spacing w:before="100" w:beforeAutospacing="1" w:after="100" w:afterAutospacing="1" w:line="240" w:lineRule="auto"/>
        <w:rPr>
          <w:rFonts w:ascii="Arial" w:eastAsia="Times New Roman" w:hAnsi="Arial" w:cs="Arial"/>
          <w:lang w:eastAsia="en-GB"/>
        </w:rPr>
      </w:pPr>
      <w:bookmarkStart w:id="4" w:name="_Hlk161741093"/>
      <w:bookmarkEnd w:id="2"/>
      <w:bookmarkEnd w:id="3"/>
      <w:r w:rsidRPr="00F43DF8">
        <w:rPr>
          <w:rFonts w:ascii="Arial" w:eastAsia="Times New Roman" w:hAnsi="Arial" w:cs="Arial"/>
          <w:lang w:eastAsia="en-GB"/>
        </w:rPr>
        <w:t xml:space="preserve">December data shows mixed trends across quality measures. </w:t>
      </w:r>
    </w:p>
    <w:p w14:paraId="3E12570A" w14:textId="5EE57F12" w:rsidR="00F43DF8" w:rsidRPr="00F43DF8" w:rsidRDefault="00F43DF8" w:rsidP="00F43DF8">
      <w:pPr>
        <w:spacing w:before="100" w:beforeAutospacing="1" w:after="100" w:afterAutospacing="1" w:line="240" w:lineRule="auto"/>
        <w:rPr>
          <w:rFonts w:ascii="Arial" w:eastAsia="Times New Roman" w:hAnsi="Arial" w:cs="Arial"/>
          <w:lang w:eastAsia="en-GB"/>
        </w:rPr>
      </w:pPr>
      <w:r w:rsidRPr="00F43DF8">
        <w:rPr>
          <w:rFonts w:ascii="Arial" w:hAnsi="Arial" w:cs="Arial"/>
          <w:b/>
          <w:bCs/>
          <w:color w:val="005EB8"/>
        </w:rPr>
        <w:t>Falls</w:t>
      </w:r>
      <w:r w:rsidRPr="00F43DF8">
        <w:rPr>
          <w:rFonts w:ascii="Arial" w:eastAsia="Times New Roman" w:hAnsi="Arial" w:cs="Arial"/>
          <w:b/>
          <w:bCs/>
          <w:lang w:eastAsia="en-GB"/>
        </w:rPr>
        <w:t xml:space="preserve"> </w:t>
      </w:r>
      <w:r w:rsidRPr="00F43DF8">
        <w:rPr>
          <w:rFonts w:ascii="Arial" w:eastAsia="Times New Roman" w:hAnsi="Arial" w:cs="Arial"/>
          <w:lang w:eastAsia="en-GB"/>
        </w:rPr>
        <w:t xml:space="preserve">increased to 105 (+25), with unwitnessed falls rising significantly to 92 (+39), though harm-related falls decreased slightly to 14 (-3). Winter and Ray wards consistently feature among the top </w:t>
      </w:r>
      <w:r w:rsidRPr="00F43DF8">
        <w:rPr>
          <w:rFonts w:ascii="Arial" w:eastAsia="Times New Roman" w:hAnsi="Arial" w:cs="Arial"/>
          <w:lang w:eastAsia="en-GB"/>
        </w:rPr>
        <w:lastRenderedPageBreak/>
        <w:t>contributors and require targeted review. Training compliance remains high (&gt;97%), with focused support continuing in Kingsmoor and Harold.</w:t>
      </w:r>
    </w:p>
    <w:p w14:paraId="60A1FB97" w14:textId="77777777" w:rsidR="00F43DF8" w:rsidRPr="00F43DF8" w:rsidRDefault="00F43DF8" w:rsidP="00F43DF8">
      <w:pPr>
        <w:spacing w:before="100" w:beforeAutospacing="1" w:after="100" w:afterAutospacing="1" w:line="240" w:lineRule="auto"/>
        <w:rPr>
          <w:rFonts w:ascii="Arial" w:eastAsia="Times New Roman" w:hAnsi="Arial" w:cs="Arial"/>
          <w:lang w:eastAsia="en-GB"/>
        </w:rPr>
      </w:pPr>
      <w:r w:rsidRPr="00F43DF8">
        <w:rPr>
          <w:rFonts w:ascii="Arial" w:hAnsi="Arial" w:cs="Arial"/>
          <w:b/>
          <w:bCs/>
          <w:color w:val="005EB8"/>
        </w:rPr>
        <w:t>Pressure ulcers</w:t>
      </w:r>
      <w:r w:rsidRPr="00F43DF8">
        <w:rPr>
          <w:rFonts w:ascii="Arial" w:eastAsia="Times New Roman" w:hAnsi="Arial" w:cs="Arial"/>
          <w:lang w:eastAsia="en-GB"/>
        </w:rPr>
        <w:t xml:space="preserve"> decreased overall, with reportable HAPUs falling to 24 (-17) and non-reportable skin changes dropping to 60 (-18). ITU/HDU, Tye Green, and Kingsmoor remain under enhanced surveillance, while nine wards reported zero HAPUs, several sustaining this for four months. Assurance is strengthened by the launch of a new tissue viability monitoring system on 1 January 2026 and ongoing review of investigation processes.</w:t>
      </w:r>
    </w:p>
    <w:p w14:paraId="413DAB58" w14:textId="7B0AC83F" w:rsidR="00F43DF8" w:rsidRPr="00F43DF8" w:rsidRDefault="00F43DF8" w:rsidP="00F43DF8">
      <w:pPr>
        <w:spacing w:before="100" w:beforeAutospacing="1" w:after="100" w:afterAutospacing="1" w:line="240" w:lineRule="auto"/>
        <w:rPr>
          <w:rFonts w:ascii="Arial" w:eastAsia="Times New Roman" w:hAnsi="Arial" w:cs="Arial"/>
          <w:lang w:eastAsia="en-GB"/>
        </w:rPr>
      </w:pPr>
      <w:r w:rsidRPr="00F43DF8">
        <w:rPr>
          <w:rFonts w:ascii="Arial" w:hAnsi="Arial" w:cs="Arial"/>
          <w:b/>
          <w:bCs/>
          <w:color w:val="005EB8"/>
        </w:rPr>
        <w:t>Patient experience</w:t>
      </w:r>
      <w:r w:rsidRPr="00F43DF8">
        <w:rPr>
          <w:rFonts w:ascii="Arial" w:eastAsia="Times New Roman" w:hAnsi="Arial" w:cs="Arial"/>
          <w:lang w:eastAsia="en-GB"/>
        </w:rPr>
        <w:t xml:space="preserve"> data highlights recurring themes of delays and communication. Complaints totalled 31 (mainly medical care and appointment delays), and PALS contacts reached 75, with similar themes</w:t>
      </w:r>
      <w:r>
        <w:rPr>
          <w:rFonts w:ascii="Arial" w:eastAsia="Times New Roman" w:hAnsi="Arial" w:cs="Arial"/>
          <w:lang w:eastAsia="en-GB"/>
        </w:rPr>
        <w:t>, most centralised within ED</w:t>
      </w:r>
      <w:r w:rsidRPr="00F43DF8">
        <w:rPr>
          <w:rFonts w:ascii="Arial" w:eastAsia="Times New Roman" w:hAnsi="Arial" w:cs="Arial"/>
          <w:lang w:eastAsia="en-GB"/>
        </w:rPr>
        <w:t>. Only five compliments were recorded, reflecting inconsistent capture and limiting opportunities to share positive feedback.</w:t>
      </w:r>
    </w:p>
    <w:p w14:paraId="75E3207D" w14:textId="77777777" w:rsidR="00F43DF8" w:rsidRPr="00F43DF8" w:rsidRDefault="00F43DF8" w:rsidP="00F43DF8">
      <w:pPr>
        <w:spacing w:before="100" w:beforeAutospacing="1" w:after="100" w:afterAutospacing="1" w:line="240" w:lineRule="auto"/>
        <w:rPr>
          <w:rFonts w:ascii="Arial" w:eastAsia="Times New Roman" w:hAnsi="Arial" w:cs="Arial"/>
          <w:lang w:eastAsia="en-GB"/>
        </w:rPr>
      </w:pPr>
      <w:r w:rsidRPr="00F43DF8">
        <w:rPr>
          <w:rFonts w:ascii="Arial" w:eastAsia="Times New Roman" w:hAnsi="Arial" w:cs="Arial"/>
          <w:lang w:eastAsia="en-GB"/>
        </w:rPr>
        <w:t>Overall, quality indicators remain under close review. While harm trends show improvement in some areas, fragility persists, requiring sustained leadership focus and continued oversight to embed improvement.</w:t>
      </w:r>
    </w:p>
    <w:p w14:paraId="4B0E5B2F" w14:textId="34F08CAC" w:rsidR="00420F43" w:rsidRPr="008F18A3" w:rsidRDefault="00466834" w:rsidP="002F35EC">
      <w:pPr>
        <w:spacing w:before="100" w:beforeAutospacing="1" w:after="100" w:afterAutospacing="1" w:line="240" w:lineRule="auto"/>
        <w:rPr>
          <w:rFonts w:ascii="Arial" w:eastAsia="Times New Roman" w:hAnsi="Arial" w:cs="Arial"/>
          <w:b/>
          <w:bCs/>
          <w:lang w:eastAsia="en-GB"/>
        </w:rPr>
      </w:pPr>
      <w:r>
        <w:rPr>
          <w:rFonts w:ascii="Arial" w:eastAsia="Times New Roman" w:hAnsi="Arial" w:cs="Arial"/>
          <w:lang w:eastAsia="en-GB"/>
        </w:rPr>
        <w:t>Data and trends</w:t>
      </w:r>
      <w:r w:rsidR="002F35EC" w:rsidRPr="00EC22A3">
        <w:rPr>
          <w:rFonts w:ascii="Arial" w:eastAsia="Times New Roman" w:hAnsi="Arial" w:cs="Arial"/>
          <w:lang w:eastAsia="en-GB"/>
        </w:rPr>
        <w:t xml:space="preserve"> of quality indicators is provided in </w:t>
      </w:r>
      <w:r w:rsidR="002F35EC" w:rsidRPr="00EC22A3">
        <w:rPr>
          <w:rFonts w:ascii="Arial" w:eastAsia="Times New Roman" w:hAnsi="Arial" w:cs="Arial"/>
          <w:b/>
          <w:bCs/>
          <w:lang w:eastAsia="en-GB"/>
        </w:rPr>
        <w:t xml:space="preserve">Appendix </w:t>
      </w:r>
      <w:r w:rsidR="003278AE">
        <w:rPr>
          <w:rFonts w:ascii="Arial" w:eastAsia="Times New Roman" w:hAnsi="Arial" w:cs="Arial"/>
          <w:b/>
          <w:bCs/>
          <w:lang w:eastAsia="en-GB"/>
        </w:rPr>
        <w:t>5</w:t>
      </w:r>
      <w:r w:rsidR="002F35EC" w:rsidRPr="00EC22A3">
        <w:rPr>
          <w:rFonts w:ascii="Arial" w:eastAsia="Times New Roman" w:hAnsi="Arial" w:cs="Arial"/>
          <w:b/>
          <w:bCs/>
          <w:lang w:eastAsia="en-GB"/>
        </w:rPr>
        <w:t>.</w:t>
      </w:r>
    </w:p>
    <w:p w14:paraId="563817CD" w14:textId="3816B9BC" w:rsidR="002F35EC" w:rsidRPr="00EC22A3" w:rsidRDefault="00F3354C" w:rsidP="002F35EC">
      <w:pPr>
        <w:spacing w:before="240" w:after="0" w:line="240" w:lineRule="auto"/>
        <w:jc w:val="both"/>
        <w:rPr>
          <w:rFonts w:ascii="Arial" w:hAnsi="Arial" w:cs="Arial"/>
          <w:b/>
          <w:bCs/>
          <w:color w:val="005EB8"/>
        </w:rPr>
      </w:pPr>
      <w:r>
        <w:rPr>
          <w:rFonts w:ascii="Arial" w:hAnsi="Arial" w:cs="Arial"/>
          <w:b/>
          <w:bCs/>
          <w:color w:val="005EB8"/>
        </w:rPr>
        <w:t>7</w:t>
      </w:r>
      <w:r w:rsidR="002F35EC" w:rsidRPr="00EC22A3">
        <w:rPr>
          <w:rFonts w:ascii="Arial" w:hAnsi="Arial" w:cs="Arial"/>
          <w:b/>
          <w:bCs/>
          <w:color w:val="005EB8"/>
        </w:rPr>
        <w:t xml:space="preserve">.0 </w:t>
      </w:r>
      <w:r w:rsidR="002F35EC" w:rsidRPr="00EC22A3">
        <w:rPr>
          <w:rFonts w:ascii="Arial" w:hAnsi="Arial" w:cs="Arial"/>
          <w:b/>
          <w:bCs/>
          <w:color w:val="005EB8"/>
        </w:rPr>
        <w:tab/>
        <w:t>Conclusion</w:t>
      </w:r>
      <w:r w:rsidR="00EC22A3" w:rsidRPr="00EC22A3">
        <w:rPr>
          <w:rFonts w:ascii="Arial" w:hAnsi="Arial" w:cs="Arial"/>
          <w:b/>
          <w:bCs/>
          <w:color w:val="005EB8"/>
        </w:rPr>
        <w:t>: Assurance and Governance</w:t>
      </w:r>
    </w:p>
    <w:p w14:paraId="3CF00DA8" w14:textId="77777777" w:rsidR="00EC22A3" w:rsidRPr="00EC22A3" w:rsidRDefault="00EC22A3" w:rsidP="00EC22A3">
      <w:p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lang w:eastAsia="en-GB"/>
        </w:rPr>
        <w:t>The Trust maintained a sustained registered fill rate above 95%, providing assurance that staffing levels remained safe. However, acuity-driven pressures persisted, particularly enhanced care demand, continuing to challenge workforce resilience.</w:t>
      </w:r>
    </w:p>
    <w:p w14:paraId="6048BDB2" w14:textId="4EE66516" w:rsidR="00EC22A3" w:rsidRPr="00EC22A3" w:rsidRDefault="00EC22A3" w:rsidP="00EC22A3">
      <w:p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lang w:eastAsia="en-GB"/>
        </w:rPr>
        <w:t>To mitigate these risks</w:t>
      </w:r>
      <w:r w:rsidR="00F11814">
        <w:rPr>
          <w:rFonts w:ascii="Arial" w:eastAsia="Times New Roman" w:hAnsi="Arial" w:cs="Arial"/>
          <w:lang w:eastAsia="en-GB"/>
        </w:rPr>
        <w:t>,</w:t>
      </w:r>
      <w:r w:rsidRPr="00EC22A3">
        <w:rPr>
          <w:rFonts w:ascii="Arial" w:eastAsia="Times New Roman" w:hAnsi="Arial" w:cs="Arial"/>
          <w:lang w:eastAsia="en-GB"/>
        </w:rPr>
        <w:t xml:space="preserve"> the following governance controls were applied throughout December:</w:t>
      </w:r>
    </w:p>
    <w:p w14:paraId="61A2436F" w14:textId="77777777" w:rsidR="00EC22A3" w:rsidRPr="00EC22A3" w:rsidRDefault="00EC22A3" w:rsidP="00EC22A3">
      <w:pPr>
        <w:numPr>
          <w:ilvl w:val="0"/>
          <w:numId w:val="22"/>
        </w:num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b/>
          <w:bCs/>
          <w:lang w:eastAsia="en-GB"/>
        </w:rPr>
        <w:t>Real-time oversight:</w:t>
      </w:r>
      <w:r w:rsidRPr="00EC22A3">
        <w:rPr>
          <w:rFonts w:ascii="Arial" w:eastAsia="Times New Roman" w:hAnsi="Arial" w:cs="Arial"/>
          <w:lang w:eastAsia="en-GB"/>
        </w:rPr>
        <w:t xml:space="preserve"> Daily SafeCare huddles and three-times-daily acuity reviews supported informed redeployment decisions.</w:t>
      </w:r>
    </w:p>
    <w:p w14:paraId="2901D723" w14:textId="77777777" w:rsidR="00EC22A3" w:rsidRPr="00EC22A3" w:rsidRDefault="00EC22A3" w:rsidP="00EC22A3">
      <w:pPr>
        <w:numPr>
          <w:ilvl w:val="0"/>
          <w:numId w:val="22"/>
        </w:num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b/>
          <w:bCs/>
          <w:lang w:eastAsia="en-GB"/>
        </w:rPr>
        <w:t>Senior clinical support:</w:t>
      </w:r>
      <w:r w:rsidRPr="00EC22A3">
        <w:rPr>
          <w:rFonts w:ascii="Arial" w:eastAsia="Times New Roman" w:hAnsi="Arial" w:cs="Arial"/>
          <w:lang w:eastAsia="en-GB"/>
        </w:rPr>
        <w:t xml:space="preserve"> Senior nurses and midwives provided direct support to high-risk areas.</w:t>
      </w:r>
    </w:p>
    <w:p w14:paraId="46A71D13" w14:textId="77777777" w:rsidR="00EC22A3" w:rsidRPr="00EC22A3" w:rsidRDefault="00EC22A3" w:rsidP="00EC22A3">
      <w:pPr>
        <w:numPr>
          <w:ilvl w:val="0"/>
          <w:numId w:val="22"/>
        </w:num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b/>
          <w:bCs/>
          <w:lang w:eastAsia="en-GB"/>
        </w:rPr>
        <w:t>Temporary staffing:</w:t>
      </w:r>
      <w:r w:rsidRPr="00EC22A3">
        <w:rPr>
          <w:rFonts w:ascii="Arial" w:eastAsia="Times New Roman" w:hAnsi="Arial" w:cs="Arial"/>
          <w:lang w:eastAsia="en-GB"/>
        </w:rPr>
        <w:t xml:space="preserve"> NHSP filled vacant shifts, including RMNs for patients with mental health needs.</w:t>
      </w:r>
    </w:p>
    <w:p w14:paraId="012FA0E6" w14:textId="7C8A932E" w:rsidR="00EC22A3" w:rsidRPr="00EC22A3" w:rsidRDefault="00EC22A3" w:rsidP="00EC22A3">
      <w:pPr>
        <w:numPr>
          <w:ilvl w:val="0"/>
          <w:numId w:val="22"/>
        </w:numPr>
        <w:spacing w:before="100" w:beforeAutospacing="1" w:after="100" w:afterAutospacing="1" w:line="300" w:lineRule="atLeast"/>
        <w:rPr>
          <w:rFonts w:ascii="Arial" w:eastAsia="Times New Roman" w:hAnsi="Arial" w:cs="Arial"/>
          <w:lang w:eastAsia="en-GB"/>
        </w:rPr>
      </w:pPr>
      <w:r w:rsidRPr="00EC22A3">
        <w:rPr>
          <w:rFonts w:ascii="Arial" w:eastAsia="Times New Roman" w:hAnsi="Arial" w:cs="Arial"/>
          <w:b/>
          <w:bCs/>
          <w:lang w:eastAsia="en-GB"/>
        </w:rPr>
        <w:t>Enhanced care oversight:</w:t>
      </w:r>
      <w:r w:rsidRPr="00EC22A3">
        <w:rPr>
          <w:rFonts w:ascii="Arial" w:eastAsia="Times New Roman" w:hAnsi="Arial" w:cs="Arial"/>
          <w:lang w:eastAsia="en-GB"/>
        </w:rPr>
        <w:t xml:space="preserve"> Local Red Flags for unmet enhanced care improved visibility, with data shared through the Enhanced Care Collaborative.</w:t>
      </w:r>
      <w:r w:rsidRPr="00EC22A3">
        <w:rPr>
          <w:rFonts w:ascii="Arial" w:hAnsi="Arial" w:cs="Arial"/>
        </w:rPr>
        <w:t xml:space="preserve"> </w:t>
      </w:r>
    </w:p>
    <w:p w14:paraId="1B3C475D" w14:textId="6F9559FD" w:rsidR="00EC22A3" w:rsidRPr="00EC22A3" w:rsidRDefault="00EC22A3" w:rsidP="00EC22A3">
      <w:pPr>
        <w:pStyle w:val="ListParagraph"/>
        <w:numPr>
          <w:ilvl w:val="0"/>
          <w:numId w:val="22"/>
        </w:numPr>
        <w:rPr>
          <w:rFonts w:ascii="Arial" w:hAnsi="Arial" w:cs="Arial"/>
        </w:rPr>
      </w:pPr>
      <w:r w:rsidRPr="00EC22A3">
        <w:rPr>
          <w:rFonts w:ascii="Arial" w:hAnsi="Arial" w:cs="Arial"/>
          <w:b/>
          <w:bCs/>
        </w:rPr>
        <w:t xml:space="preserve">SafeCare governance: </w:t>
      </w:r>
      <w:r w:rsidRPr="00EC22A3">
        <w:rPr>
          <w:rFonts w:ascii="Arial" w:hAnsi="Arial" w:cs="Arial"/>
        </w:rPr>
        <w:t xml:space="preserve">Red Flags were reviewed daily and informed deployment decisions; training on reporting and closure remains embedded in </w:t>
      </w:r>
      <w:r w:rsidR="00F11814">
        <w:rPr>
          <w:rFonts w:ascii="Arial" w:hAnsi="Arial" w:cs="Arial"/>
        </w:rPr>
        <w:t xml:space="preserve">daily huddles, </w:t>
      </w:r>
      <w:r w:rsidRPr="00EC22A3">
        <w:rPr>
          <w:rFonts w:ascii="Arial" w:hAnsi="Arial" w:cs="Arial"/>
        </w:rPr>
        <w:t>preceptorship and Band 6 development programmes with local support provided.</w:t>
      </w:r>
    </w:p>
    <w:p w14:paraId="7B05EF64" w14:textId="2C094304" w:rsidR="00EC22A3" w:rsidRPr="00EC22A3" w:rsidRDefault="00EC22A3" w:rsidP="00EC22A3">
      <w:pPr>
        <w:pStyle w:val="ListParagraph"/>
        <w:numPr>
          <w:ilvl w:val="0"/>
          <w:numId w:val="22"/>
        </w:numPr>
        <w:spacing w:after="0" w:line="300" w:lineRule="atLeast"/>
        <w:rPr>
          <w:rFonts w:ascii="Arial" w:eastAsia="Times New Roman" w:hAnsi="Arial" w:cs="Arial"/>
          <w:lang w:eastAsia="en-GB"/>
        </w:rPr>
      </w:pPr>
      <w:r w:rsidRPr="00EC22A3">
        <w:rPr>
          <w:rFonts w:ascii="Arial" w:eastAsia="Times New Roman" w:hAnsi="Arial" w:cs="Arial"/>
          <w:b/>
          <w:bCs/>
          <w:lang w:eastAsia="en-GB"/>
        </w:rPr>
        <w:t>Redeployment governance:</w:t>
      </w:r>
      <w:r w:rsidRPr="00EC22A3">
        <w:rPr>
          <w:rFonts w:ascii="Arial" w:eastAsia="Times New Roman" w:hAnsi="Arial" w:cs="Arial"/>
          <w:lang w:eastAsia="en-GB"/>
        </w:rPr>
        <w:t xml:space="preserve"> 158 substantive redeployments (1.06% of substantive hours) were recorded, monitored through daily huddles and monthly reporting. </w:t>
      </w:r>
    </w:p>
    <w:p w14:paraId="71969BAC" w14:textId="7CE39FF5" w:rsidR="00EC22A3" w:rsidRPr="00F11814" w:rsidRDefault="00EC22A3" w:rsidP="00F11814">
      <w:pPr>
        <w:pStyle w:val="ListParagraph"/>
        <w:numPr>
          <w:ilvl w:val="0"/>
          <w:numId w:val="22"/>
        </w:numPr>
        <w:spacing w:after="0" w:line="300" w:lineRule="atLeast"/>
        <w:rPr>
          <w:rFonts w:ascii="Arial" w:eastAsia="Times New Roman" w:hAnsi="Arial" w:cs="Arial"/>
          <w:lang w:eastAsia="en-GB"/>
        </w:rPr>
      </w:pPr>
      <w:r w:rsidRPr="00EC22A3">
        <w:rPr>
          <w:rFonts w:ascii="Arial" w:eastAsia="Times New Roman" w:hAnsi="Arial" w:cs="Arial"/>
          <w:b/>
          <w:bCs/>
          <w:lang w:eastAsia="en-GB"/>
        </w:rPr>
        <w:t>Escalation and assurance:</w:t>
      </w:r>
      <w:r w:rsidRPr="00EC22A3">
        <w:rPr>
          <w:rFonts w:ascii="Arial" w:eastAsia="Times New Roman" w:hAnsi="Arial" w:cs="Arial"/>
          <w:lang w:eastAsia="en-GB"/>
        </w:rPr>
        <w:t xml:space="preserve"> Risks were escalated via divisional leadership and monitored through twice-daily compliance checks, weekly SafeCare reports, and monthly Board reporting.</w:t>
      </w:r>
    </w:p>
    <w:p w14:paraId="580105F9" w14:textId="6535B74F" w:rsidR="001E29C2" w:rsidRPr="00037267" w:rsidRDefault="00F3354C" w:rsidP="003F4460">
      <w:pPr>
        <w:spacing w:before="240" w:after="0" w:line="240" w:lineRule="auto"/>
        <w:jc w:val="both"/>
        <w:rPr>
          <w:rFonts w:ascii="Arial" w:eastAsia="Times New Roman" w:hAnsi="Arial" w:cs="Arial"/>
          <w:b/>
          <w:color w:val="005EB8"/>
          <w:lang w:eastAsia="en-GB"/>
        </w:rPr>
      </w:pPr>
      <w:r>
        <w:rPr>
          <w:rFonts w:ascii="Arial" w:eastAsia="Times New Roman" w:hAnsi="Arial" w:cs="Arial"/>
          <w:b/>
          <w:color w:val="005EB8"/>
          <w:lang w:eastAsia="en-GB"/>
        </w:rPr>
        <w:t>8</w:t>
      </w:r>
      <w:r w:rsidR="004C2A2C" w:rsidRPr="00037267">
        <w:rPr>
          <w:rFonts w:ascii="Arial" w:eastAsia="Times New Roman" w:hAnsi="Arial" w:cs="Arial"/>
          <w:b/>
          <w:color w:val="005EB8"/>
          <w:lang w:eastAsia="en-GB"/>
        </w:rPr>
        <w:t xml:space="preserve">.0 </w:t>
      </w:r>
      <w:r w:rsidR="00303A61" w:rsidRPr="00037267">
        <w:rPr>
          <w:rFonts w:ascii="Arial" w:eastAsia="Times New Roman" w:hAnsi="Arial" w:cs="Arial"/>
          <w:b/>
          <w:color w:val="005EB8"/>
          <w:lang w:eastAsia="en-GB"/>
        </w:rPr>
        <w:tab/>
      </w:r>
      <w:r w:rsidR="004C2A2C" w:rsidRPr="00037267">
        <w:rPr>
          <w:rFonts w:ascii="Arial" w:eastAsia="Times New Roman" w:hAnsi="Arial" w:cs="Arial"/>
          <w:b/>
          <w:color w:val="005EB8"/>
          <w:lang w:eastAsia="en-GB"/>
        </w:rPr>
        <w:t>Recommendation</w:t>
      </w:r>
    </w:p>
    <w:p w14:paraId="61311058" w14:textId="77777777" w:rsidR="00A25A23" w:rsidRDefault="00A25A23" w:rsidP="00A25A23">
      <w:pPr>
        <w:spacing w:before="240" w:after="0" w:line="240" w:lineRule="auto"/>
        <w:jc w:val="both"/>
        <w:rPr>
          <w:rFonts w:ascii="Arial" w:eastAsia="Times New Roman" w:hAnsi="Arial" w:cs="Arial"/>
          <w:b/>
          <w:bCs/>
          <w:lang w:eastAsia="en-GB"/>
        </w:rPr>
      </w:pPr>
      <w:bookmarkStart w:id="5" w:name="_Hlk166146819"/>
      <w:r w:rsidRPr="00037267">
        <w:rPr>
          <w:rFonts w:ascii="Arial" w:eastAsia="Times New Roman" w:hAnsi="Arial" w:cs="Arial"/>
          <w:lang w:eastAsia="en-GB"/>
        </w:rPr>
        <w:t>The Board is asked to note the contents of this report,</w:t>
      </w:r>
      <w:r w:rsidRPr="00037267">
        <w:rPr>
          <w:rFonts w:ascii="Arial" w:eastAsia="Times New Roman" w:hAnsi="Arial" w:cs="Arial"/>
          <w:b/>
          <w:bCs/>
          <w:lang w:eastAsia="en-GB"/>
        </w:rPr>
        <w:t xml:space="preserve"> </w:t>
      </w:r>
      <w:r w:rsidRPr="00037267">
        <w:rPr>
          <w:rFonts w:ascii="Arial" w:eastAsia="Times New Roman" w:hAnsi="Arial" w:cs="Arial"/>
          <w:lang w:eastAsia="en-GB"/>
        </w:rPr>
        <w:t>which provide assurance on the daily management and mitigation of nursing and midwifery staffing risks</w:t>
      </w:r>
      <w:r w:rsidRPr="00037267">
        <w:rPr>
          <w:rFonts w:ascii="Arial" w:eastAsia="Times New Roman" w:hAnsi="Arial" w:cs="Arial"/>
          <w:b/>
          <w:bCs/>
          <w:lang w:eastAsia="en-GB"/>
        </w:rPr>
        <w:t>.</w:t>
      </w:r>
    </w:p>
    <w:p w14:paraId="27CA736D" w14:textId="77777777" w:rsidR="00420F43" w:rsidRDefault="00420F43" w:rsidP="00A25A23">
      <w:pPr>
        <w:spacing w:before="240" w:after="0" w:line="240" w:lineRule="auto"/>
        <w:jc w:val="both"/>
        <w:rPr>
          <w:rFonts w:ascii="Arial" w:eastAsia="Times New Roman" w:hAnsi="Arial" w:cs="Arial"/>
          <w:b/>
          <w:bCs/>
          <w:lang w:eastAsia="en-GB"/>
        </w:rPr>
      </w:pPr>
    </w:p>
    <w:p w14:paraId="7BFD3B2D" w14:textId="2AB93708" w:rsidR="00750EC6" w:rsidRPr="007B06B3" w:rsidRDefault="00A822E6" w:rsidP="0043100E">
      <w:pPr>
        <w:spacing w:after="0" w:line="240" w:lineRule="auto"/>
        <w:rPr>
          <w:rFonts w:ascii="Arial" w:eastAsia="Times New Roman" w:hAnsi="Arial" w:cs="Arial"/>
          <w:b/>
          <w:color w:val="005EB8"/>
          <w:lang w:eastAsia="en-GB"/>
        </w:rPr>
      </w:pPr>
      <w:r w:rsidRPr="007B06B3">
        <w:rPr>
          <w:rFonts w:ascii="Arial" w:eastAsia="Times New Roman" w:hAnsi="Arial" w:cs="Arial"/>
          <w:b/>
          <w:color w:val="005EB8"/>
          <w:lang w:eastAsia="en-GB"/>
        </w:rPr>
        <w:lastRenderedPageBreak/>
        <w:t>A</w:t>
      </w:r>
      <w:r w:rsidR="00F5364A" w:rsidRPr="007B06B3">
        <w:rPr>
          <w:rFonts w:ascii="Arial" w:eastAsia="Times New Roman" w:hAnsi="Arial" w:cs="Arial"/>
          <w:b/>
          <w:color w:val="005EB8"/>
          <w:lang w:eastAsia="en-GB"/>
        </w:rPr>
        <w:t>p</w:t>
      </w:r>
      <w:r w:rsidR="00E55390" w:rsidRPr="007B06B3">
        <w:rPr>
          <w:rFonts w:ascii="Arial" w:eastAsia="Times New Roman" w:hAnsi="Arial" w:cs="Arial"/>
          <w:b/>
          <w:color w:val="005EB8"/>
          <w:lang w:eastAsia="en-GB"/>
        </w:rPr>
        <w:t>pendix</w:t>
      </w:r>
      <w:r w:rsidR="00971145" w:rsidRPr="007B06B3">
        <w:rPr>
          <w:rFonts w:ascii="Arial" w:eastAsia="Times New Roman" w:hAnsi="Arial" w:cs="Arial"/>
          <w:b/>
          <w:color w:val="005EB8"/>
          <w:lang w:eastAsia="en-GB"/>
        </w:rPr>
        <w:t xml:space="preserve"> </w:t>
      </w:r>
      <w:r w:rsidR="00E55390" w:rsidRPr="007B06B3">
        <w:rPr>
          <w:rFonts w:ascii="Arial" w:eastAsia="Times New Roman" w:hAnsi="Arial" w:cs="Arial"/>
          <w:b/>
          <w:color w:val="005EB8"/>
          <w:lang w:eastAsia="en-GB"/>
        </w:rPr>
        <w:t>1</w:t>
      </w:r>
      <w:bookmarkStart w:id="6" w:name="_Hlk161740953"/>
      <w:r w:rsidR="00750EC6" w:rsidRPr="007B06B3">
        <w:rPr>
          <w:rFonts w:ascii="Arial" w:eastAsia="Times New Roman" w:hAnsi="Arial" w:cs="Arial"/>
          <w:b/>
          <w:color w:val="005EB8"/>
          <w:lang w:eastAsia="en-GB"/>
        </w:rPr>
        <w:t>: Fill Rates</w:t>
      </w:r>
    </w:p>
    <w:p w14:paraId="410C2783" w14:textId="6D56DA65" w:rsidR="00801A52" w:rsidRPr="007B06B3" w:rsidRDefault="00750EC6" w:rsidP="0043100E">
      <w:pPr>
        <w:spacing w:after="0" w:line="240" w:lineRule="auto"/>
        <w:rPr>
          <w:rFonts w:ascii="Arial" w:eastAsia="Times New Roman" w:hAnsi="Arial" w:cs="Arial"/>
          <w:b/>
          <w:i/>
          <w:color w:val="005EB8"/>
          <w:sz w:val="18"/>
          <w:szCs w:val="18"/>
          <w:lang w:eastAsia="en-GB"/>
        </w:rPr>
      </w:pPr>
      <w:r w:rsidRPr="007B06B3">
        <w:rPr>
          <w:rFonts w:ascii="Arial" w:eastAsia="Times New Roman" w:hAnsi="Arial" w:cs="Arial"/>
          <w:b/>
          <w:color w:val="005EB8"/>
          <w:lang w:eastAsia="en-GB"/>
        </w:rPr>
        <w:t xml:space="preserve">Table 1a: </w:t>
      </w:r>
      <w:r w:rsidR="00E55390" w:rsidRPr="007B06B3">
        <w:rPr>
          <w:rFonts w:ascii="Arial" w:eastAsia="Times New Roman" w:hAnsi="Arial" w:cs="Arial"/>
          <w:b/>
          <w:color w:val="005EB8"/>
          <w:lang w:eastAsia="en-GB"/>
        </w:rPr>
        <w:t>Ward level data</w:t>
      </w:r>
      <w:r w:rsidRPr="007B06B3">
        <w:rPr>
          <w:rFonts w:ascii="Arial" w:eastAsia="Times New Roman" w:hAnsi="Arial" w:cs="Arial"/>
          <w:b/>
          <w:color w:val="005EB8"/>
          <w:lang w:eastAsia="en-GB"/>
        </w:rPr>
        <w:t xml:space="preserve"> – fill</w:t>
      </w:r>
      <w:r w:rsidR="00E55390" w:rsidRPr="007B06B3">
        <w:rPr>
          <w:rFonts w:ascii="Arial" w:eastAsia="Times New Roman" w:hAnsi="Arial" w:cs="Arial"/>
          <w:b/>
          <w:color w:val="005EB8"/>
          <w:lang w:eastAsia="en-GB"/>
        </w:rPr>
        <w:t xml:space="preserve"> rates </w:t>
      </w:r>
      <w:r w:rsidR="007122D6" w:rsidRPr="007B06B3">
        <w:rPr>
          <w:rFonts w:ascii="Arial" w:eastAsia="Times New Roman" w:hAnsi="Arial" w:cs="Arial"/>
          <w:b/>
          <w:bCs/>
          <w:color w:val="005EB8"/>
          <w:lang w:eastAsia="en-GB"/>
        </w:rPr>
        <w:t>Dec</w:t>
      </w:r>
      <w:r w:rsidR="0057060E" w:rsidRPr="007B06B3">
        <w:rPr>
          <w:rFonts w:ascii="Arial" w:eastAsia="Times New Roman" w:hAnsi="Arial" w:cs="Arial"/>
          <w:b/>
          <w:bCs/>
          <w:color w:val="005EB8"/>
          <w:lang w:eastAsia="en-GB"/>
        </w:rPr>
        <w:t>em</w:t>
      </w:r>
      <w:r w:rsidR="001E6EC4" w:rsidRPr="007B06B3">
        <w:rPr>
          <w:rFonts w:ascii="Arial" w:eastAsia="Times New Roman" w:hAnsi="Arial" w:cs="Arial"/>
          <w:b/>
          <w:color w:val="005EB8"/>
          <w:lang w:eastAsia="en-GB"/>
        </w:rPr>
        <w:t>ber</w:t>
      </w:r>
      <w:r w:rsidR="00977A20" w:rsidRPr="007B06B3">
        <w:rPr>
          <w:rFonts w:ascii="Arial" w:eastAsia="Times New Roman" w:hAnsi="Arial" w:cs="Arial"/>
          <w:b/>
          <w:color w:val="005EB8"/>
          <w:lang w:eastAsia="en-GB"/>
        </w:rPr>
        <w:t xml:space="preserve"> 2025</w:t>
      </w:r>
      <w:r w:rsidR="008E7088" w:rsidRPr="007B06B3">
        <w:rPr>
          <w:rFonts w:ascii="Arial" w:eastAsia="Times New Roman" w:hAnsi="Arial" w:cs="Arial"/>
          <w:b/>
          <w:color w:val="005EB8"/>
          <w:lang w:eastAsia="en-GB"/>
        </w:rPr>
        <w:t xml:space="preserve"> </w:t>
      </w:r>
      <w:r w:rsidR="00E55390" w:rsidRPr="007B06B3">
        <w:rPr>
          <w:rFonts w:ascii="Arial" w:eastAsia="Times New Roman" w:hAnsi="Arial" w:cs="Arial"/>
          <w:b/>
          <w:i/>
          <w:color w:val="005EB8"/>
          <w:sz w:val="18"/>
          <w:szCs w:val="18"/>
          <w:lang w:eastAsia="en-GB"/>
        </w:rPr>
        <w:t>(Adjusted Standard Planned Ward Demand</w:t>
      </w:r>
      <w:bookmarkEnd w:id="6"/>
      <w:r w:rsidR="00E55390" w:rsidRPr="007B06B3">
        <w:rPr>
          <w:rFonts w:ascii="Arial" w:eastAsia="Times New Roman" w:hAnsi="Arial" w:cs="Arial"/>
          <w:b/>
          <w:i/>
          <w:color w:val="005EB8"/>
          <w:sz w:val="18"/>
          <w:szCs w:val="18"/>
          <w:lang w:eastAsia="en-GB"/>
        </w:rPr>
        <w:t>)</w:t>
      </w:r>
      <w:r w:rsidR="00AA64D6" w:rsidRPr="007B06B3">
        <w:rPr>
          <w:rFonts w:ascii="Arial" w:eastAsia="Times New Roman" w:hAnsi="Arial" w:cs="Arial"/>
          <w:b/>
          <w:i/>
          <w:color w:val="005EB8"/>
          <w:sz w:val="18"/>
          <w:szCs w:val="18"/>
          <w:lang w:eastAsia="en-GB"/>
        </w:rPr>
        <w:t xml:space="preserve"> </w:t>
      </w:r>
    </w:p>
    <w:tbl>
      <w:tblPr>
        <w:tblStyle w:val="TableGrid"/>
        <w:tblW w:w="0" w:type="auto"/>
        <w:tblInd w:w="-147" w:type="dxa"/>
        <w:tblLook w:val="04A0" w:firstRow="1" w:lastRow="0" w:firstColumn="1" w:lastColumn="0" w:noHBand="0" w:noVBand="1"/>
      </w:tblPr>
      <w:tblGrid>
        <w:gridCol w:w="147"/>
        <w:gridCol w:w="1445"/>
        <w:gridCol w:w="821"/>
        <w:gridCol w:w="846"/>
        <w:gridCol w:w="941"/>
        <w:gridCol w:w="480"/>
        <w:gridCol w:w="1187"/>
        <w:gridCol w:w="941"/>
        <w:gridCol w:w="139"/>
        <w:gridCol w:w="1008"/>
        <w:gridCol w:w="882"/>
        <w:gridCol w:w="377"/>
        <w:gridCol w:w="505"/>
      </w:tblGrid>
      <w:tr w:rsidR="007A67DE" w:rsidRPr="007B06B3" w14:paraId="3500EEAA" w14:textId="77777777" w:rsidTr="00633571">
        <w:trPr>
          <w:gridBefore w:val="1"/>
          <w:gridAfter w:val="1"/>
          <w:wBefore w:w="147" w:type="dxa"/>
          <w:wAfter w:w="505" w:type="dxa"/>
          <w:trHeight w:val="256"/>
        </w:trPr>
        <w:tc>
          <w:tcPr>
            <w:tcW w:w="2266" w:type="dxa"/>
            <w:gridSpan w:val="2"/>
            <w:shd w:val="clear" w:color="auto" w:fill="00B0F0"/>
          </w:tcPr>
          <w:bookmarkEnd w:id="5"/>
          <w:p w14:paraId="0A54A2D6" w14:textId="77777777" w:rsidR="007A67DE" w:rsidRPr="007B06B3" w:rsidRDefault="007A67DE" w:rsidP="007A67DE">
            <w:pPr>
              <w:spacing w:after="0" w:line="240" w:lineRule="auto"/>
              <w:jc w:val="center"/>
              <w:rPr>
                <w:rFonts w:ascii="Arial" w:eastAsia="Times New Roman" w:hAnsi="Arial" w:cs="Arial"/>
                <w:sz w:val="18"/>
                <w:szCs w:val="18"/>
                <w:lang w:eastAsia="en-GB"/>
              </w:rPr>
            </w:pPr>
            <w:r w:rsidRPr="007B06B3">
              <w:rPr>
                <w:rFonts w:ascii="Arial" w:eastAsia="Times New Roman" w:hAnsi="Arial" w:cs="Arial"/>
                <w:sz w:val="18"/>
                <w:szCs w:val="18"/>
                <w:lang w:eastAsia="en-GB"/>
              </w:rPr>
              <w:t>&gt;100%</w:t>
            </w:r>
          </w:p>
        </w:tc>
        <w:tc>
          <w:tcPr>
            <w:tcW w:w="2267" w:type="dxa"/>
            <w:gridSpan w:val="3"/>
            <w:shd w:val="clear" w:color="auto" w:fill="92D050"/>
          </w:tcPr>
          <w:p w14:paraId="6BF7A1D7" w14:textId="77777777" w:rsidR="007A67DE" w:rsidRPr="007B06B3" w:rsidRDefault="007A67DE" w:rsidP="007A67DE">
            <w:pPr>
              <w:spacing w:after="0" w:line="240" w:lineRule="auto"/>
              <w:jc w:val="center"/>
              <w:rPr>
                <w:rFonts w:ascii="Arial" w:eastAsia="Times New Roman" w:hAnsi="Arial" w:cs="Arial"/>
                <w:sz w:val="18"/>
                <w:szCs w:val="18"/>
                <w:lang w:eastAsia="en-GB"/>
              </w:rPr>
            </w:pPr>
            <w:r w:rsidRPr="007B06B3">
              <w:rPr>
                <w:rFonts w:ascii="Arial" w:eastAsia="Times New Roman" w:hAnsi="Arial" w:cs="Arial"/>
                <w:sz w:val="18"/>
                <w:szCs w:val="18"/>
                <w:lang w:eastAsia="en-GB"/>
              </w:rPr>
              <w:t>95 – 100%</w:t>
            </w:r>
          </w:p>
        </w:tc>
        <w:tc>
          <w:tcPr>
            <w:tcW w:w="2267" w:type="dxa"/>
            <w:gridSpan w:val="3"/>
            <w:shd w:val="clear" w:color="auto" w:fill="FFC000"/>
          </w:tcPr>
          <w:p w14:paraId="1608947E" w14:textId="77777777" w:rsidR="007A67DE" w:rsidRPr="007B06B3" w:rsidRDefault="007A67DE" w:rsidP="007A67DE">
            <w:pPr>
              <w:spacing w:after="0" w:line="240" w:lineRule="auto"/>
              <w:jc w:val="center"/>
              <w:rPr>
                <w:rFonts w:ascii="Arial" w:eastAsia="Times New Roman" w:hAnsi="Arial" w:cs="Arial"/>
                <w:sz w:val="18"/>
                <w:szCs w:val="18"/>
                <w:lang w:eastAsia="en-GB"/>
              </w:rPr>
            </w:pPr>
            <w:r w:rsidRPr="007B06B3">
              <w:rPr>
                <w:rFonts w:ascii="Arial" w:eastAsia="Times New Roman" w:hAnsi="Arial" w:cs="Arial"/>
                <w:sz w:val="18"/>
                <w:szCs w:val="18"/>
                <w:lang w:eastAsia="en-GB"/>
              </w:rPr>
              <w:t>75-95%</w:t>
            </w:r>
          </w:p>
        </w:tc>
        <w:tc>
          <w:tcPr>
            <w:tcW w:w="2267" w:type="dxa"/>
            <w:gridSpan w:val="3"/>
            <w:shd w:val="clear" w:color="auto" w:fill="FF0000"/>
          </w:tcPr>
          <w:p w14:paraId="62356217" w14:textId="77777777" w:rsidR="007A67DE" w:rsidRPr="007B06B3" w:rsidRDefault="007A67DE" w:rsidP="007A67DE">
            <w:pPr>
              <w:spacing w:after="0" w:line="240" w:lineRule="auto"/>
              <w:jc w:val="center"/>
              <w:rPr>
                <w:rFonts w:ascii="Arial" w:eastAsia="Times New Roman" w:hAnsi="Arial" w:cs="Arial"/>
                <w:sz w:val="18"/>
                <w:szCs w:val="18"/>
                <w:lang w:eastAsia="en-GB"/>
              </w:rPr>
            </w:pPr>
            <w:r w:rsidRPr="007B06B3">
              <w:rPr>
                <w:rFonts w:ascii="Arial" w:eastAsia="Times New Roman" w:hAnsi="Arial" w:cs="Arial"/>
                <w:sz w:val="18"/>
                <w:szCs w:val="18"/>
                <w:lang w:eastAsia="en-GB"/>
              </w:rPr>
              <w:t>&lt;75%</w:t>
            </w:r>
          </w:p>
        </w:tc>
      </w:tr>
      <w:tr w:rsidR="0043100E" w:rsidRPr="007B06B3" w14:paraId="4439808E" w14:textId="77777777" w:rsidTr="00633571">
        <w:trPr>
          <w:trHeight w:val="416"/>
        </w:trPr>
        <w:tc>
          <w:tcPr>
            <w:tcW w:w="1592" w:type="dxa"/>
            <w:gridSpan w:val="2"/>
            <w:tcBorders>
              <w:top w:val="nil"/>
              <w:left w:val="nil"/>
              <w:bottom w:val="single" w:sz="8" w:space="0" w:color="auto"/>
              <w:right w:val="single" w:sz="8" w:space="0" w:color="auto"/>
            </w:tcBorders>
          </w:tcPr>
          <w:p w14:paraId="1AEE31A4" w14:textId="77777777" w:rsidR="0043100E" w:rsidRPr="007B06B3" w:rsidRDefault="0043100E" w:rsidP="0043100E">
            <w:pPr>
              <w:spacing w:after="0" w:line="240" w:lineRule="auto"/>
              <w:rPr>
                <w:rFonts w:ascii="Arial" w:hAnsi="Arial" w:cs="Arial"/>
                <w:sz w:val="18"/>
                <w:szCs w:val="18"/>
              </w:rPr>
            </w:pPr>
            <w:bookmarkStart w:id="7" w:name="_Hlk198623752"/>
            <w:bookmarkStart w:id="8" w:name="_Hlk198623944"/>
            <w:bookmarkStart w:id="9" w:name="_Hlk198624073"/>
            <w:bookmarkStart w:id="10" w:name="_Hlk193188322"/>
            <w:bookmarkEnd w:id="4"/>
          </w:p>
        </w:tc>
        <w:tc>
          <w:tcPr>
            <w:tcW w:w="2608" w:type="dxa"/>
            <w:gridSpan w:val="3"/>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EF32BF5" w14:textId="77777777" w:rsidR="0043100E" w:rsidRPr="007B06B3" w:rsidRDefault="0043100E" w:rsidP="0043100E">
            <w:pPr>
              <w:spacing w:after="0" w:line="240" w:lineRule="auto"/>
              <w:jc w:val="center"/>
              <w:rPr>
                <w:rFonts w:ascii="Arial" w:hAnsi="Arial" w:cs="Arial"/>
                <w:b/>
                <w:sz w:val="18"/>
                <w:szCs w:val="18"/>
              </w:rPr>
            </w:pPr>
            <w:r w:rsidRPr="007B06B3">
              <w:rPr>
                <w:rFonts w:ascii="Arial" w:hAnsi="Arial" w:cs="Arial"/>
                <w:b/>
                <w:sz w:val="18"/>
                <w:szCs w:val="18"/>
              </w:rPr>
              <w:t>Day</w:t>
            </w:r>
          </w:p>
        </w:tc>
        <w:tc>
          <w:tcPr>
            <w:tcW w:w="2608" w:type="dxa"/>
            <w:gridSpan w:val="3"/>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1EA2582" w14:textId="77777777" w:rsidR="0043100E" w:rsidRPr="007B06B3" w:rsidRDefault="0043100E" w:rsidP="0043100E">
            <w:pPr>
              <w:spacing w:after="0" w:line="240" w:lineRule="auto"/>
              <w:jc w:val="center"/>
              <w:rPr>
                <w:rFonts w:ascii="Arial" w:hAnsi="Arial" w:cs="Arial"/>
                <w:b/>
                <w:sz w:val="18"/>
                <w:szCs w:val="18"/>
              </w:rPr>
            </w:pPr>
            <w:r w:rsidRPr="007B06B3">
              <w:rPr>
                <w:rFonts w:ascii="Arial" w:hAnsi="Arial" w:cs="Arial"/>
                <w:b/>
                <w:sz w:val="18"/>
                <w:szCs w:val="18"/>
              </w:rPr>
              <w:t>Night</w:t>
            </w:r>
          </w:p>
        </w:tc>
        <w:tc>
          <w:tcPr>
            <w:tcW w:w="2911" w:type="dxa"/>
            <w:gridSpan w:val="5"/>
            <w:tcBorders>
              <w:top w:val="nil"/>
              <w:left w:val="single" w:sz="8" w:space="0" w:color="auto"/>
              <w:bottom w:val="single" w:sz="8" w:space="0" w:color="auto"/>
              <w:right w:val="nil"/>
            </w:tcBorders>
            <w:vAlign w:val="center"/>
          </w:tcPr>
          <w:p w14:paraId="5EAD94FC" w14:textId="77777777" w:rsidR="0043100E" w:rsidRPr="007B06B3" w:rsidRDefault="0043100E" w:rsidP="0043100E">
            <w:pPr>
              <w:spacing w:after="0" w:line="240" w:lineRule="auto"/>
              <w:jc w:val="center"/>
              <w:rPr>
                <w:rFonts w:ascii="Arial" w:hAnsi="Arial" w:cs="Arial"/>
                <w:sz w:val="18"/>
                <w:szCs w:val="18"/>
              </w:rPr>
            </w:pPr>
          </w:p>
        </w:tc>
      </w:tr>
      <w:tr w:rsidR="0043100E" w:rsidRPr="007B06B3" w14:paraId="14BA8FD1" w14:textId="77777777" w:rsidTr="00633571">
        <w:trPr>
          <w:trHeight w:val="1062"/>
        </w:trPr>
        <w:tc>
          <w:tcPr>
            <w:tcW w:w="1592" w:type="dxa"/>
            <w:gridSpan w:val="2"/>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6D05AED6" w14:textId="77777777" w:rsidR="0043100E" w:rsidRPr="007B06B3" w:rsidRDefault="0043100E" w:rsidP="0043100E">
            <w:pPr>
              <w:spacing w:after="0" w:line="240" w:lineRule="auto"/>
              <w:jc w:val="center"/>
              <w:rPr>
                <w:rFonts w:ascii="Arial" w:hAnsi="Arial" w:cs="Arial"/>
                <w:b/>
                <w:sz w:val="18"/>
                <w:szCs w:val="18"/>
              </w:rPr>
            </w:pPr>
            <w:r w:rsidRPr="007B06B3">
              <w:rPr>
                <w:rFonts w:ascii="Arial" w:hAnsi="Arial" w:cs="Arial"/>
                <w:b/>
                <w:sz w:val="18"/>
                <w:szCs w:val="18"/>
              </w:rPr>
              <w:t>Ward name</w:t>
            </w:r>
          </w:p>
        </w:tc>
        <w:tc>
          <w:tcPr>
            <w:tcW w:w="1667" w:type="dxa"/>
            <w:gridSpan w:val="2"/>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E112D20"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3FCCEF6"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fill rate - care staff (%)</w:t>
            </w:r>
          </w:p>
        </w:tc>
        <w:tc>
          <w:tcPr>
            <w:tcW w:w="1667" w:type="dxa"/>
            <w:gridSpan w:val="2"/>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549C7EE5"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fill rate - registered nurses/midwives (%)</w:t>
            </w:r>
          </w:p>
        </w:tc>
        <w:tc>
          <w:tcPr>
            <w:tcW w:w="941" w:type="dxa"/>
            <w:tcBorders>
              <w:top w:val="single" w:sz="8" w:space="0" w:color="auto"/>
              <w:left w:val="single" w:sz="8" w:space="0" w:color="auto"/>
              <w:bottom w:val="single" w:sz="8" w:space="0" w:color="auto"/>
              <w:right w:val="single" w:sz="8" w:space="0" w:color="auto"/>
            </w:tcBorders>
            <w:shd w:val="clear" w:color="auto" w:fill="9CC2E5" w:themeFill="accent5" w:themeFillTint="99"/>
            <w:vAlign w:val="center"/>
          </w:tcPr>
          <w:p w14:paraId="12BCF4A1"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fill rate - care staff (%)</w:t>
            </w:r>
          </w:p>
        </w:tc>
        <w:tc>
          <w:tcPr>
            <w:tcW w:w="1147" w:type="dxa"/>
            <w:gridSpan w:val="2"/>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6018B5E" w14:textId="77777777" w:rsidR="0043100E" w:rsidRPr="007B06B3" w:rsidRDefault="0043100E" w:rsidP="0043100E">
            <w:pPr>
              <w:spacing w:after="0" w:line="240" w:lineRule="auto"/>
              <w:jc w:val="center"/>
              <w:rPr>
                <w:rFonts w:ascii="Arial" w:eastAsia="Times New Roman" w:hAnsi="Arial" w:cs="Arial"/>
                <w:b/>
                <w:bCs/>
                <w:sz w:val="18"/>
                <w:szCs w:val="18"/>
                <w:lang w:eastAsia="en-GB"/>
              </w:rPr>
            </w:pPr>
            <w:r w:rsidRPr="007B06B3">
              <w:rPr>
                <w:rFonts w:ascii="Arial" w:eastAsia="Times New Roman" w:hAnsi="Arial" w:cs="Arial"/>
                <w:b/>
                <w:bCs/>
                <w:sz w:val="18"/>
                <w:szCs w:val="18"/>
                <w:lang w:eastAsia="en-GB"/>
              </w:rPr>
              <w:t>% Registered overall fill rate</w:t>
            </w:r>
          </w:p>
        </w:tc>
        <w:tc>
          <w:tcPr>
            <w:tcW w:w="882"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44C8EE8"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HCSW overall fill rate</w:t>
            </w:r>
          </w:p>
        </w:tc>
        <w:tc>
          <w:tcPr>
            <w:tcW w:w="882" w:type="dxa"/>
            <w:gridSpan w:val="2"/>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78133A90" w14:textId="77777777" w:rsidR="0043100E" w:rsidRPr="007B06B3" w:rsidRDefault="0043100E" w:rsidP="0043100E">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Overall fill rate</w:t>
            </w:r>
          </w:p>
        </w:tc>
      </w:tr>
      <w:bookmarkEnd w:id="7"/>
      <w:bookmarkEnd w:id="8"/>
      <w:bookmarkEnd w:id="9"/>
      <w:tr w:rsidR="00423B45" w:rsidRPr="007B06B3" w14:paraId="1DA4FF15"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542BEECF"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 xml:space="preserve">Harvey </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347569A5" w14:textId="23AFFB5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105.4%</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762AEBE" w14:textId="64F0DC4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149.7%</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3FD673A8" w14:textId="3890508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131.3%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11FDC8F" w14:textId="18F36D2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152.4%</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5E5D1C56" w14:textId="53E3F6B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115.9%</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514E689" w14:textId="02CA78D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151.0%</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7DDCE0B2" w14:textId="3822F62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128.6%</w:t>
            </w:r>
          </w:p>
        </w:tc>
      </w:tr>
      <w:tr w:rsidR="00423B45" w:rsidRPr="007B06B3" w14:paraId="1BC55B66"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5DDA8A31"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 xml:space="preserve">Henry Moore </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23F4512B" w14:textId="47157E2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138.0%</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EDAB084" w14:textId="4D64BF3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138.7%</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56B2A63F" w14:textId="255D224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174.5%</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EA0A71D" w14:textId="7877B89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164.4%</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1437D06A" w14:textId="65B4749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152.6%</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C4333EC" w14:textId="56D6B9B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151.0%</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792BAE29" w14:textId="5F51015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151.9%</w:t>
            </w:r>
          </w:p>
        </w:tc>
      </w:tr>
      <w:tr w:rsidR="00423B45" w:rsidRPr="007B06B3" w14:paraId="575B3FE4"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7D501F4F"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ITU &amp; HDU</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05CE0FF1" w14:textId="2630A77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97.5%</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4D4635F1" w14:textId="55C926C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81.3%</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19902A88" w14:textId="73F7A13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99.5%</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4ABC5DED" w14:textId="3E6B690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111.3%</w:t>
            </w:r>
          </w:p>
        </w:tc>
        <w:tc>
          <w:tcPr>
            <w:tcW w:w="1147" w:type="dxa"/>
            <w:gridSpan w:val="2"/>
            <w:tcBorders>
              <w:top w:val="single" w:sz="4" w:space="0" w:color="auto"/>
              <w:left w:val="nil"/>
              <w:bottom w:val="single" w:sz="4" w:space="0" w:color="auto"/>
              <w:right w:val="single" w:sz="8" w:space="0" w:color="auto"/>
            </w:tcBorders>
            <w:shd w:val="clear" w:color="000000" w:fill="92D050"/>
            <w:vAlign w:val="bottom"/>
          </w:tcPr>
          <w:p w14:paraId="376C219E" w14:textId="3FBD4E0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98.5%</w:t>
            </w:r>
          </w:p>
        </w:tc>
        <w:tc>
          <w:tcPr>
            <w:tcW w:w="882" w:type="dxa"/>
            <w:tcBorders>
              <w:top w:val="single" w:sz="4" w:space="0" w:color="auto"/>
              <w:left w:val="nil"/>
              <w:bottom w:val="single" w:sz="4" w:space="0" w:color="auto"/>
              <w:right w:val="single" w:sz="8" w:space="0" w:color="auto"/>
            </w:tcBorders>
            <w:shd w:val="clear" w:color="000000" w:fill="92D050"/>
            <w:vAlign w:val="bottom"/>
          </w:tcPr>
          <w:p w14:paraId="4A52800B" w14:textId="030AE4A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95.7%</w:t>
            </w:r>
          </w:p>
        </w:tc>
        <w:tc>
          <w:tcPr>
            <w:tcW w:w="882" w:type="dxa"/>
            <w:gridSpan w:val="2"/>
            <w:tcBorders>
              <w:top w:val="single" w:sz="4" w:space="0" w:color="auto"/>
              <w:left w:val="nil"/>
              <w:bottom w:val="single" w:sz="4" w:space="0" w:color="auto"/>
              <w:right w:val="single" w:sz="8" w:space="0" w:color="auto"/>
            </w:tcBorders>
            <w:shd w:val="clear" w:color="000000" w:fill="92D050"/>
            <w:vAlign w:val="bottom"/>
          </w:tcPr>
          <w:p w14:paraId="5A06F113" w14:textId="33BE593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98.2%</w:t>
            </w:r>
          </w:p>
        </w:tc>
      </w:tr>
      <w:tr w:rsidR="00423B45" w:rsidRPr="007B06B3" w14:paraId="35B36337"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62AEED6F"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 xml:space="preserve">John Snow </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6BD7B2D5" w14:textId="76C35CA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87.3%</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4CF48AB7" w14:textId="32C8A7B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39.1%</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5C7A79B4" w14:textId="76DEDDD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82.3%</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619BC575" w14:textId="1111FF4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25.8%</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2FF2F5E4" w14:textId="5276FB9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84.9%</w:t>
            </w:r>
          </w:p>
        </w:tc>
        <w:tc>
          <w:tcPr>
            <w:tcW w:w="882" w:type="dxa"/>
            <w:tcBorders>
              <w:top w:val="single" w:sz="4" w:space="0" w:color="auto"/>
              <w:left w:val="nil"/>
              <w:bottom w:val="single" w:sz="4" w:space="0" w:color="auto"/>
              <w:right w:val="single" w:sz="8" w:space="0" w:color="auto"/>
            </w:tcBorders>
            <w:shd w:val="clear" w:color="000000" w:fill="FF0000"/>
            <w:vAlign w:val="bottom"/>
          </w:tcPr>
          <w:p w14:paraId="16D0043F" w14:textId="2AB53EF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32.8%</w:t>
            </w:r>
          </w:p>
        </w:tc>
        <w:tc>
          <w:tcPr>
            <w:tcW w:w="882" w:type="dxa"/>
            <w:gridSpan w:val="2"/>
            <w:tcBorders>
              <w:top w:val="single" w:sz="4" w:space="0" w:color="auto"/>
              <w:left w:val="nil"/>
              <w:bottom w:val="single" w:sz="4" w:space="0" w:color="auto"/>
              <w:right w:val="single" w:sz="8" w:space="0" w:color="auto"/>
            </w:tcBorders>
            <w:shd w:val="clear" w:color="000000" w:fill="FF0000"/>
            <w:vAlign w:val="bottom"/>
          </w:tcPr>
          <w:p w14:paraId="453FA540" w14:textId="6100E22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67.5%</w:t>
            </w:r>
          </w:p>
        </w:tc>
      </w:tr>
      <w:tr w:rsidR="00423B45" w:rsidRPr="007B06B3" w14:paraId="6D5D2D3D"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3DF1FC16"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 xml:space="preserve">Penn </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0760C04C" w14:textId="344B539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95.9%</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5BDD118" w14:textId="3374ED3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111.7%</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7E0B4302" w14:textId="15C3702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97.6%</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11693E6" w14:textId="39A2E66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178.7%</w:t>
            </w:r>
          </w:p>
        </w:tc>
        <w:tc>
          <w:tcPr>
            <w:tcW w:w="1147" w:type="dxa"/>
            <w:gridSpan w:val="2"/>
            <w:tcBorders>
              <w:top w:val="single" w:sz="4" w:space="0" w:color="auto"/>
              <w:left w:val="nil"/>
              <w:bottom w:val="single" w:sz="4" w:space="0" w:color="auto"/>
              <w:right w:val="single" w:sz="8" w:space="0" w:color="auto"/>
            </w:tcBorders>
            <w:shd w:val="clear" w:color="000000" w:fill="92D050"/>
            <w:vAlign w:val="bottom"/>
          </w:tcPr>
          <w:p w14:paraId="2A348EE3" w14:textId="1AFD7EE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96.6%</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D5A5403" w14:textId="0B8E98E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137.1%</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4D55BDBF" w14:textId="5C41D0B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111.1%</w:t>
            </w:r>
          </w:p>
        </w:tc>
      </w:tr>
      <w:tr w:rsidR="00423B45" w:rsidRPr="007B06B3" w14:paraId="57C73235" w14:textId="77777777" w:rsidTr="00633571">
        <w:trPr>
          <w:trHeight w:val="227"/>
        </w:trPr>
        <w:tc>
          <w:tcPr>
            <w:tcW w:w="1592" w:type="dxa"/>
            <w:gridSpan w:val="2"/>
            <w:tcBorders>
              <w:top w:val="single" w:sz="8" w:space="0" w:color="auto"/>
              <w:left w:val="single" w:sz="8" w:space="0" w:color="auto"/>
              <w:bottom w:val="single" w:sz="18" w:space="0" w:color="auto"/>
              <w:right w:val="single" w:sz="8" w:space="0" w:color="auto"/>
            </w:tcBorders>
            <w:vAlign w:val="center"/>
          </w:tcPr>
          <w:p w14:paraId="2A9D69BC"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Saunders</w:t>
            </w:r>
          </w:p>
        </w:tc>
        <w:tc>
          <w:tcPr>
            <w:tcW w:w="1667" w:type="dxa"/>
            <w:gridSpan w:val="2"/>
            <w:tcBorders>
              <w:top w:val="single" w:sz="4" w:space="0" w:color="auto"/>
              <w:left w:val="nil"/>
              <w:bottom w:val="single" w:sz="18" w:space="0" w:color="auto"/>
              <w:right w:val="single" w:sz="8" w:space="0" w:color="auto"/>
            </w:tcBorders>
            <w:shd w:val="clear" w:color="000000" w:fill="FFC000"/>
            <w:vAlign w:val="bottom"/>
          </w:tcPr>
          <w:p w14:paraId="73EE0C6A" w14:textId="045883B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89.1%</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0E5F246A" w14:textId="785EDEE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116.4%</w:t>
            </w:r>
          </w:p>
        </w:tc>
        <w:tc>
          <w:tcPr>
            <w:tcW w:w="1667" w:type="dxa"/>
            <w:gridSpan w:val="2"/>
            <w:tcBorders>
              <w:top w:val="single" w:sz="4" w:space="0" w:color="auto"/>
              <w:left w:val="nil"/>
              <w:bottom w:val="single" w:sz="18" w:space="0" w:color="auto"/>
              <w:right w:val="single" w:sz="8" w:space="0" w:color="auto"/>
            </w:tcBorders>
            <w:shd w:val="clear" w:color="000000" w:fill="00B0F0"/>
            <w:vAlign w:val="bottom"/>
          </w:tcPr>
          <w:p w14:paraId="7304AB2E" w14:textId="19D52B5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122.3%</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527F827" w14:textId="2E49177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167.3%</w:t>
            </w:r>
          </w:p>
        </w:tc>
        <w:tc>
          <w:tcPr>
            <w:tcW w:w="1147" w:type="dxa"/>
            <w:gridSpan w:val="2"/>
            <w:tcBorders>
              <w:top w:val="single" w:sz="4" w:space="0" w:color="auto"/>
              <w:left w:val="nil"/>
              <w:bottom w:val="single" w:sz="18" w:space="0" w:color="auto"/>
              <w:right w:val="single" w:sz="8" w:space="0" w:color="auto"/>
            </w:tcBorders>
            <w:shd w:val="clear" w:color="000000" w:fill="00B0F0"/>
            <w:vAlign w:val="bottom"/>
          </w:tcPr>
          <w:p w14:paraId="3967AE22" w14:textId="07B5E32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101.6%</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59903082" w14:textId="4B368DA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135.7%</w:t>
            </w:r>
          </w:p>
        </w:tc>
        <w:tc>
          <w:tcPr>
            <w:tcW w:w="882" w:type="dxa"/>
            <w:gridSpan w:val="2"/>
            <w:tcBorders>
              <w:top w:val="single" w:sz="4" w:space="0" w:color="auto"/>
              <w:left w:val="nil"/>
              <w:bottom w:val="single" w:sz="18" w:space="0" w:color="auto"/>
              <w:right w:val="single" w:sz="8" w:space="0" w:color="auto"/>
            </w:tcBorders>
            <w:shd w:val="clear" w:color="000000" w:fill="00B0F0"/>
            <w:vAlign w:val="bottom"/>
          </w:tcPr>
          <w:p w14:paraId="0BA1C31F" w14:textId="0C1C10B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114.4%</w:t>
            </w:r>
          </w:p>
        </w:tc>
      </w:tr>
      <w:tr w:rsidR="00423B45" w:rsidRPr="007B06B3" w14:paraId="5DED37A6" w14:textId="77777777" w:rsidTr="00633571">
        <w:trPr>
          <w:trHeight w:val="227"/>
        </w:trPr>
        <w:tc>
          <w:tcPr>
            <w:tcW w:w="1592" w:type="dxa"/>
            <w:gridSpan w:val="2"/>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FDE1311" w14:textId="77777777" w:rsidR="00423B45" w:rsidRPr="007B06B3" w:rsidRDefault="00423B45" w:rsidP="00423B45">
            <w:pPr>
              <w:spacing w:after="0" w:line="240" w:lineRule="auto"/>
              <w:rPr>
                <w:rFonts w:ascii="Arial" w:hAnsi="Arial" w:cs="Arial"/>
                <w:b/>
                <w:i/>
                <w:color w:val="000000"/>
                <w:sz w:val="18"/>
                <w:szCs w:val="18"/>
              </w:rPr>
            </w:pPr>
            <w:r w:rsidRPr="007B06B3">
              <w:rPr>
                <w:rFonts w:ascii="Arial" w:hAnsi="Arial" w:cs="Arial"/>
                <w:b/>
                <w:i/>
                <w:color w:val="000000"/>
                <w:sz w:val="18"/>
                <w:szCs w:val="18"/>
              </w:rPr>
              <w:t xml:space="preserve">Surgery Total </w:t>
            </w:r>
          </w:p>
        </w:tc>
        <w:tc>
          <w:tcPr>
            <w:tcW w:w="1667" w:type="dxa"/>
            <w:gridSpan w:val="2"/>
            <w:tcBorders>
              <w:top w:val="single" w:sz="18" w:space="0" w:color="auto"/>
              <w:left w:val="nil"/>
              <w:bottom w:val="single" w:sz="18" w:space="0" w:color="auto"/>
              <w:right w:val="single" w:sz="8" w:space="0" w:color="auto"/>
            </w:tcBorders>
            <w:shd w:val="clear" w:color="000000" w:fill="00B0F0"/>
            <w:vAlign w:val="bottom"/>
          </w:tcPr>
          <w:p w14:paraId="558E37A9" w14:textId="5A80586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100.4%</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4BFA28FC" w14:textId="4A18719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115.1%</w:t>
            </w:r>
          </w:p>
        </w:tc>
        <w:tc>
          <w:tcPr>
            <w:tcW w:w="1667" w:type="dxa"/>
            <w:gridSpan w:val="2"/>
            <w:tcBorders>
              <w:top w:val="single" w:sz="18" w:space="0" w:color="auto"/>
              <w:left w:val="nil"/>
              <w:bottom w:val="single" w:sz="18" w:space="0" w:color="auto"/>
              <w:right w:val="single" w:sz="8" w:space="0" w:color="auto"/>
            </w:tcBorders>
            <w:shd w:val="clear" w:color="000000" w:fill="00B0F0"/>
            <w:vAlign w:val="bottom"/>
          </w:tcPr>
          <w:p w14:paraId="5703162D" w14:textId="71ED6A2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111.2%</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2C7692E4" w14:textId="1DDEC5C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146.3%</w:t>
            </w:r>
          </w:p>
        </w:tc>
        <w:tc>
          <w:tcPr>
            <w:tcW w:w="1147" w:type="dxa"/>
            <w:gridSpan w:val="2"/>
            <w:tcBorders>
              <w:top w:val="single" w:sz="18" w:space="0" w:color="auto"/>
              <w:left w:val="nil"/>
              <w:bottom w:val="single" w:sz="18" w:space="0" w:color="auto"/>
              <w:right w:val="single" w:sz="8" w:space="0" w:color="auto"/>
            </w:tcBorders>
            <w:shd w:val="clear" w:color="000000" w:fill="00B0F0"/>
            <w:vAlign w:val="bottom"/>
          </w:tcPr>
          <w:p w14:paraId="5BEE06CC" w14:textId="2B7E65B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105.2%</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5587B55F" w14:textId="633B196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128.6%</w:t>
            </w:r>
          </w:p>
        </w:tc>
        <w:tc>
          <w:tcPr>
            <w:tcW w:w="882" w:type="dxa"/>
            <w:gridSpan w:val="2"/>
            <w:tcBorders>
              <w:top w:val="single" w:sz="18" w:space="0" w:color="auto"/>
              <w:left w:val="nil"/>
              <w:bottom w:val="single" w:sz="18" w:space="0" w:color="auto"/>
              <w:right w:val="single" w:sz="8" w:space="0" w:color="auto"/>
            </w:tcBorders>
            <w:shd w:val="clear" w:color="000000" w:fill="00B0F0"/>
            <w:vAlign w:val="bottom"/>
          </w:tcPr>
          <w:p w14:paraId="5245E19D" w14:textId="64E1B37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112.0%</w:t>
            </w:r>
          </w:p>
        </w:tc>
      </w:tr>
      <w:tr w:rsidR="00423B45" w:rsidRPr="007B06B3" w14:paraId="5EB98905" w14:textId="77777777" w:rsidTr="00633571">
        <w:trPr>
          <w:trHeight w:val="227"/>
        </w:trPr>
        <w:tc>
          <w:tcPr>
            <w:tcW w:w="1592" w:type="dxa"/>
            <w:gridSpan w:val="2"/>
            <w:tcBorders>
              <w:top w:val="single" w:sz="18" w:space="0" w:color="auto"/>
              <w:left w:val="single" w:sz="8" w:space="0" w:color="auto"/>
              <w:bottom w:val="single" w:sz="8" w:space="0" w:color="auto"/>
              <w:right w:val="single" w:sz="8" w:space="0" w:color="auto"/>
            </w:tcBorders>
            <w:vAlign w:val="center"/>
          </w:tcPr>
          <w:p w14:paraId="707CBF8E"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Fleming</w:t>
            </w:r>
          </w:p>
        </w:tc>
        <w:tc>
          <w:tcPr>
            <w:tcW w:w="1667" w:type="dxa"/>
            <w:gridSpan w:val="2"/>
            <w:tcBorders>
              <w:top w:val="single" w:sz="18" w:space="0" w:color="auto"/>
              <w:left w:val="nil"/>
              <w:bottom w:val="single" w:sz="4" w:space="0" w:color="auto"/>
              <w:right w:val="single" w:sz="8" w:space="0" w:color="auto"/>
            </w:tcBorders>
            <w:shd w:val="clear" w:color="000000" w:fill="FFC000"/>
            <w:vAlign w:val="bottom"/>
          </w:tcPr>
          <w:p w14:paraId="7CCDAC22" w14:textId="0DE8A3B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87.6%</w:t>
            </w:r>
          </w:p>
        </w:tc>
        <w:tc>
          <w:tcPr>
            <w:tcW w:w="941" w:type="dxa"/>
            <w:tcBorders>
              <w:top w:val="single" w:sz="18" w:space="0" w:color="auto"/>
              <w:left w:val="nil"/>
              <w:bottom w:val="single" w:sz="4" w:space="0" w:color="auto"/>
              <w:right w:val="single" w:sz="8" w:space="0" w:color="auto"/>
            </w:tcBorders>
            <w:shd w:val="clear" w:color="000000" w:fill="FFC000"/>
            <w:vAlign w:val="bottom"/>
          </w:tcPr>
          <w:p w14:paraId="795196CC" w14:textId="30DE821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87.1%</w:t>
            </w:r>
          </w:p>
        </w:tc>
        <w:tc>
          <w:tcPr>
            <w:tcW w:w="1667" w:type="dxa"/>
            <w:gridSpan w:val="2"/>
            <w:tcBorders>
              <w:top w:val="single" w:sz="18" w:space="0" w:color="auto"/>
              <w:left w:val="nil"/>
              <w:bottom w:val="single" w:sz="4" w:space="0" w:color="auto"/>
              <w:right w:val="single" w:sz="8" w:space="0" w:color="auto"/>
            </w:tcBorders>
            <w:shd w:val="clear" w:color="000000" w:fill="92D050"/>
            <w:vAlign w:val="bottom"/>
          </w:tcPr>
          <w:p w14:paraId="4A131974" w14:textId="6330C26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98.4%</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59C44F08" w14:textId="609EEFC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101.5%</w:t>
            </w:r>
          </w:p>
        </w:tc>
        <w:tc>
          <w:tcPr>
            <w:tcW w:w="1147" w:type="dxa"/>
            <w:gridSpan w:val="2"/>
            <w:tcBorders>
              <w:top w:val="single" w:sz="18" w:space="0" w:color="auto"/>
              <w:left w:val="nil"/>
              <w:bottom w:val="single" w:sz="4" w:space="0" w:color="auto"/>
              <w:right w:val="single" w:sz="8" w:space="0" w:color="auto"/>
            </w:tcBorders>
            <w:shd w:val="clear" w:color="000000" w:fill="FFC000"/>
            <w:vAlign w:val="bottom"/>
          </w:tcPr>
          <w:p w14:paraId="5B18C237" w14:textId="4C60FFD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92.2%</w:t>
            </w:r>
          </w:p>
        </w:tc>
        <w:tc>
          <w:tcPr>
            <w:tcW w:w="882" w:type="dxa"/>
            <w:tcBorders>
              <w:top w:val="single" w:sz="18" w:space="0" w:color="auto"/>
              <w:left w:val="nil"/>
              <w:bottom w:val="single" w:sz="4" w:space="0" w:color="auto"/>
              <w:right w:val="single" w:sz="8" w:space="0" w:color="auto"/>
            </w:tcBorders>
            <w:shd w:val="clear" w:color="000000" w:fill="FFC000"/>
            <w:vAlign w:val="bottom"/>
          </w:tcPr>
          <w:p w14:paraId="5FDFAFCA" w14:textId="404348C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94.0%</w:t>
            </w:r>
          </w:p>
        </w:tc>
        <w:tc>
          <w:tcPr>
            <w:tcW w:w="882" w:type="dxa"/>
            <w:gridSpan w:val="2"/>
            <w:tcBorders>
              <w:top w:val="single" w:sz="18" w:space="0" w:color="auto"/>
              <w:left w:val="nil"/>
              <w:bottom w:val="single" w:sz="4" w:space="0" w:color="auto"/>
              <w:right w:val="single" w:sz="8" w:space="0" w:color="auto"/>
            </w:tcBorders>
            <w:shd w:val="clear" w:color="000000" w:fill="FFC000"/>
            <w:vAlign w:val="bottom"/>
          </w:tcPr>
          <w:p w14:paraId="2367C33C" w14:textId="704AB45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92.7%</w:t>
            </w:r>
          </w:p>
        </w:tc>
      </w:tr>
      <w:tr w:rsidR="00423B45" w:rsidRPr="007B06B3" w14:paraId="23B76B9D"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0ECA75D0"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Harold</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08165CBF" w14:textId="7CF4FEC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88.3%</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CF0B6FE" w14:textId="5DDE6F9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108.0%</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19A9238A" w14:textId="396C756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101.6%</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8C522E1" w14:textId="10E015E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126.9%</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0DD7B8A1" w14:textId="7FB52EE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94.2%</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27D2B661" w14:textId="64D675D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117.0%</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59AB826D" w14:textId="1274A6F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101.4%</w:t>
            </w:r>
          </w:p>
        </w:tc>
      </w:tr>
      <w:tr w:rsidR="00423B45" w:rsidRPr="007B06B3" w14:paraId="7D8A4DEE"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4EA81B9C"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 xml:space="preserve">Kingsmoor </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223804A5" w14:textId="2036C32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95.6%</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A16E0AB" w14:textId="6FE96C1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121.8%</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3AB5D8D6" w14:textId="68E4555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115.0%</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D4C65FA" w14:textId="1AA9EFA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146.0%</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26F118AA" w14:textId="045B8A6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103.0%</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0A4BFA84" w14:textId="46D83AE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133.3%</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1FD65BBE" w14:textId="705861F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114.3%</w:t>
            </w:r>
          </w:p>
        </w:tc>
      </w:tr>
      <w:tr w:rsidR="00423B45" w:rsidRPr="007B06B3" w14:paraId="384B965E"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3DDC8F5C"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Lister</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5174857A" w14:textId="09B34DD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101.6%</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7E3176FA" w14:textId="3EBD4C5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109.8%</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4AAE56F8" w14:textId="7F26009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1D4B5591" w14:textId="6FF1850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132.0%</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6E1E5D9C" w14:textId="1F897E9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101.2%</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1DFA23E2" w14:textId="78C9417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120.4%</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203F5278" w14:textId="5BE236D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108.9%</w:t>
            </w:r>
          </w:p>
        </w:tc>
      </w:tr>
      <w:tr w:rsidR="00423B45" w:rsidRPr="007B06B3" w14:paraId="4622C08E"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46D466A5"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Locke</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5D72A141" w14:textId="105DEB0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96.5%</w:t>
            </w:r>
          </w:p>
        </w:tc>
        <w:tc>
          <w:tcPr>
            <w:tcW w:w="941" w:type="dxa"/>
            <w:tcBorders>
              <w:top w:val="single" w:sz="4" w:space="0" w:color="auto"/>
              <w:left w:val="nil"/>
              <w:bottom w:val="single" w:sz="4" w:space="0" w:color="auto"/>
              <w:right w:val="single" w:sz="8" w:space="0" w:color="auto"/>
            </w:tcBorders>
            <w:shd w:val="clear" w:color="000000" w:fill="92D050"/>
            <w:vAlign w:val="bottom"/>
          </w:tcPr>
          <w:p w14:paraId="11A1283D" w14:textId="7E0E7C7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96.2%</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6E9155AB" w14:textId="0CC9533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58907316" w14:textId="228A668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124.6%</w:t>
            </w:r>
          </w:p>
        </w:tc>
        <w:tc>
          <w:tcPr>
            <w:tcW w:w="1147" w:type="dxa"/>
            <w:gridSpan w:val="2"/>
            <w:tcBorders>
              <w:top w:val="single" w:sz="4" w:space="0" w:color="auto"/>
              <w:left w:val="nil"/>
              <w:bottom w:val="single" w:sz="4" w:space="0" w:color="auto"/>
              <w:right w:val="single" w:sz="8" w:space="0" w:color="auto"/>
            </w:tcBorders>
            <w:shd w:val="clear" w:color="000000" w:fill="92D050"/>
            <w:vAlign w:val="bottom"/>
          </w:tcPr>
          <w:p w14:paraId="389BF779" w14:textId="328C4B6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96.6%</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5271A6B0" w14:textId="4B3623C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109.8%</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6D147D95" w14:textId="7708912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101.9%</w:t>
            </w:r>
          </w:p>
        </w:tc>
      </w:tr>
      <w:tr w:rsidR="00423B45" w:rsidRPr="007B06B3" w14:paraId="1BF1A621"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3E41D224"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Nightingale</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7E277EA6" w14:textId="1EB5F7B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99.8%</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4C32A2C3" w14:textId="45ECD9E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62.2%</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4D9AE170" w14:textId="2A707C7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100.0%</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49C77448" w14:textId="38648DC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83.7%</w:t>
            </w:r>
          </w:p>
        </w:tc>
        <w:tc>
          <w:tcPr>
            <w:tcW w:w="1147" w:type="dxa"/>
            <w:gridSpan w:val="2"/>
            <w:tcBorders>
              <w:top w:val="single" w:sz="4" w:space="0" w:color="auto"/>
              <w:left w:val="nil"/>
              <w:bottom w:val="single" w:sz="4" w:space="0" w:color="auto"/>
              <w:right w:val="single" w:sz="8" w:space="0" w:color="auto"/>
            </w:tcBorders>
            <w:shd w:val="clear" w:color="000000" w:fill="92D050"/>
            <w:vAlign w:val="bottom"/>
          </w:tcPr>
          <w:p w14:paraId="03C4CBE5" w14:textId="049F878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99.9%</w:t>
            </w:r>
          </w:p>
        </w:tc>
        <w:tc>
          <w:tcPr>
            <w:tcW w:w="882" w:type="dxa"/>
            <w:tcBorders>
              <w:top w:val="single" w:sz="4" w:space="0" w:color="auto"/>
              <w:left w:val="nil"/>
              <w:bottom w:val="single" w:sz="4" w:space="0" w:color="auto"/>
              <w:right w:val="single" w:sz="8" w:space="0" w:color="auto"/>
            </w:tcBorders>
            <w:shd w:val="clear" w:color="000000" w:fill="FF0000"/>
            <w:vAlign w:val="bottom"/>
          </w:tcPr>
          <w:p w14:paraId="2FCECC96" w14:textId="771FDC8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72.5%</w:t>
            </w:r>
          </w:p>
        </w:tc>
        <w:tc>
          <w:tcPr>
            <w:tcW w:w="882" w:type="dxa"/>
            <w:gridSpan w:val="2"/>
            <w:tcBorders>
              <w:top w:val="single" w:sz="4" w:space="0" w:color="auto"/>
              <w:left w:val="nil"/>
              <w:bottom w:val="single" w:sz="4" w:space="0" w:color="auto"/>
              <w:right w:val="single" w:sz="8" w:space="0" w:color="auto"/>
            </w:tcBorders>
            <w:shd w:val="clear" w:color="000000" w:fill="FFC000"/>
            <w:vAlign w:val="bottom"/>
          </w:tcPr>
          <w:p w14:paraId="2B8B5968" w14:textId="1C5CED2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86.2%</w:t>
            </w:r>
          </w:p>
        </w:tc>
      </w:tr>
      <w:tr w:rsidR="00423B45" w:rsidRPr="007B06B3" w14:paraId="31D91007"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207EEE12"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Opal</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407FF737" w14:textId="3401F80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100.2%</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83BC82F" w14:textId="4A94499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107.3%</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787B6652" w14:textId="35D79F5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89.1%</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31116149" w14:textId="2C0887A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121.2%</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02CDECFD" w14:textId="5E48CA3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94.9%</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109539E" w14:textId="2983655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114.0%</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4DD9A699" w14:textId="30D2C87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102.5%</w:t>
            </w:r>
          </w:p>
        </w:tc>
      </w:tr>
      <w:tr w:rsidR="00423B45" w:rsidRPr="007B06B3" w14:paraId="344A131F"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6F48AB37"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Ray</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51DD528B" w14:textId="21624B1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108.0%</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32B47830" w14:textId="52E859F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111.6%</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50738D2C" w14:textId="36D169E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121.8%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7BFBB29D" w14:textId="1AD8635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156.3%</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020024E1" w14:textId="7A68B33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113.8%</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5A937852" w14:textId="1DB002F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128.6%</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667BBE8D" w14:textId="046DE02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119.1%</w:t>
            </w:r>
          </w:p>
        </w:tc>
      </w:tr>
      <w:tr w:rsidR="00423B45" w:rsidRPr="007B06B3" w14:paraId="18E431F9"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18CC5552"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Tye Green</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71F1E215" w14:textId="063CCA4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90.8%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677B41C7" w14:textId="6529C42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120.4%</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7E975CC2" w14:textId="0E57511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90.7%</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0FCE8D25" w14:textId="46CE539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141.8%</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020971ED" w14:textId="7469B43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90.8%</w:t>
            </w:r>
          </w:p>
        </w:tc>
        <w:tc>
          <w:tcPr>
            <w:tcW w:w="882" w:type="dxa"/>
            <w:tcBorders>
              <w:top w:val="single" w:sz="4" w:space="0" w:color="auto"/>
              <w:left w:val="nil"/>
              <w:bottom w:val="single" w:sz="4" w:space="0" w:color="auto"/>
              <w:right w:val="single" w:sz="8" w:space="0" w:color="auto"/>
            </w:tcBorders>
            <w:shd w:val="clear" w:color="000000" w:fill="00B0F0"/>
            <w:vAlign w:val="bottom"/>
          </w:tcPr>
          <w:p w14:paraId="3F644E64" w14:textId="1632FB6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129.1%</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06201C24" w14:textId="3CE316B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105.7%</w:t>
            </w:r>
          </w:p>
        </w:tc>
      </w:tr>
      <w:tr w:rsidR="00423B45" w:rsidRPr="007B06B3" w14:paraId="1BF4081D" w14:textId="77777777" w:rsidTr="00633571">
        <w:trPr>
          <w:trHeight w:val="227"/>
        </w:trPr>
        <w:tc>
          <w:tcPr>
            <w:tcW w:w="1592" w:type="dxa"/>
            <w:gridSpan w:val="2"/>
            <w:tcBorders>
              <w:top w:val="single" w:sz="8" w:space="0" w:color="auto"/>
              <w:left w:val="single" w:sz="8" w:space="0" w:color="auto"/>
              <w:bottom w:val="single" w:sz="18" w:space="0" w:color="auto"/>
              <w:right w:val="single" w:sz="8" w:space="0" w:color="auto"/>
            </w:tcBorders>
            <w:vAlign w:val="center"/>
          </w:tcPr>
          <w:p w14:paraId="055DED56"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Winter</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7F66A17A" w14:textId="6EEAB60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95.9%</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F4DD017" w14:textId="3D56250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120.7%</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0734C51F" w14:textId="2CD83CF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98.4%</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0E7AE3AC" w14:textId="7EA7900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136.3%</w:t>
            </w:r>
          </w:p>
        </w:tc>
        <w:tc>
          <w:tcPr>
            <w:tcW w:w="1147" w:type="dxa"/>
            <w:gridSpan w:val="2"/>
            <w:tcBorders>
              <w:top w:val="single" w:sz="4" w:space="0" w:color="auto"/>
              <w:left w:val="nil"/>
              <w:bottom w:val="single" w:sz="18" w:space="0" w:color="auto"/>
              <w:right w:val="single" w:sz="8" w:space="0" w:color="auto"/>
            </w:tcBorders>
            <w:shd w:val="clear" w:color="000000" w:fill="92D050"/>
            <w:vAlign w:val="bottom"/>
          </w:tcPr>
          <w:p w14:paraId="1B7CF3CF" w14:textId="7D4CE3C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97.0%</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23A21A20" w14:textId="09CC6DD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128.2%</w:t>
            </w:r>
          </w:p>
        </w:tc>
        <w:tc>
          <w:tcPr>
            <w:tcW w:w="882" w:type="dxa"/>
            <w:gridSpan w:val="2"/>
            <w:tcBorders>
              <w:top w:val="single" w:sz="4" w:space="0" w:color="auto"/>
              <w:left w:val="nil"/>
              <w:bottom w:val="single" w:sz="18" w:space="0" w:color="auto"/>
              <w:right w:val="single" w:sz="8" w:space="0" w:color="auto"/>
            </w:tcBorders>
            <w:shd w:val="clear" w:color="000000" w:fill="00B0F0"/>
            <w:vAlign w:val="bottom"/>
          </w:tcPr>
          <w:p w14:paraId="1CD113DF" w14:textId="029FA64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109.4%</w:t>
            </w:r>
          </w:p>
        </w:tc>
      </w:tr>
      <w:tr w:rsidR="00423B45" w:rsidRPr="007B06B3" w14:paraId="4DB60F4C" w14:textId="77777777" w:rsidTr="00633571">
        <w:trPr>
          <w:trHeight w:val="227"/>
        </w:trPr>
        <w:tc>
          <w:tcPr>
            <w:tcW w:w="1592" w:type="dxa"/>
            <w:gridSpan w:val="2"/>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BE7F98D" w14:textId="77777777" w:rsidR="00423B45" w:rsidRPr="007B06B3" w:rsidRDefault="00423B45" w:rsidP="00423B45">
            <w:pPr>
              <w:spacing w:after="0" w:line="240" w:lineRule="auto"/>
              <w:rPr>
                <w:rFonts w:ascii="Arial" w:hAnsi="Arial" w:cs="Arial"/>
                <w:b/>
                <w:i/>
                <w:color w:val="000000"/>
                <w:sz w:val="18"/>
                <w:szCs w:val="18"/>
              </w:rPr>
            </w:pPr>
            <w:r w:rsidRPr="007B06B3">
              <w:rPr>
                <w:rFonts w:ascii="Arial" w:hAnsi="Arial" w:cs="Arial"/>
                <w:b/>
                <w:i/>
                <w:color w:val="000000"/>
                <w:sz w:val="18"/>
                <w:szCs w:val="18"/>
              </w:rPr>
              <w:t xml:space="preserve">Medicine Total </w:t>
            </w:r>
          </w:p>
        </w:tc>
        <w:tc>
          <w:tcPr>
            <w:tcW w:w="1667" w:type="dxa"/>
            <w:gridSpan w:val="2"/>
            <w:tcBorders>
              <w:top w:val="single" w:sz="18" w:space="0" w:color="auto"/>
              <w:left w:val="nil"/>
              <w:bottom w:val="single" w:sz="18" w:space="0" w:color="auto"/>
              <w:right w:val="single" w:sz="8" w:space="0" w:color="auto"/>
            </w:tcBorders>
            <w:shd w:val="clear" w:color="000000" w:fill="92D050"/>
            <w:vAlign w:val="bottom"/>
          </w:tcPr>
          <w:p w14:paraId="0D5D9F32" w14:textId="5CC6D59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95.6%</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5BB0F623" w14:textId="52FD3AB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107.1%</w:t>
            </w:r>
          </w:p>
        </w:tc>
        <w:tc>
          <w:tcPr>
            <w:tcW w:w="1667" w:type="dxa"/>
            <w:gridSpan w:val="2"/>
            <w:tcBorders>
              <w:top w:val="single" w:sz="18" w:space="0" w:color="auto"/>
              <w:left w:val="nil"/>
              <w:bottom w:val="single" w:sz="18" w:space="0" w:color="auto"/>
              <w:right w:val="single" w:sz="8" w:space="0" w:color="auto"/>
            </w:tcBorders>
            <w:shd w:val="clear" w:color="000000" w:fill="00B0F0"/>
            <w:vAlign w:val="bottom"/>
          </w:tcPr>
          <w:p w14:paraId="2EDF86AA" w14:textId="57C1E95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101.4%</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503DFB74" w14:textId="4521F2F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128.8%</w:t>
            </w:r>
          </w:p>
        </w:tc>
        <w:tc>
          <w:tcPr>
            <w:tcW w:w="1147" w:type="dxa"/>
            <w:gridSpan w:val="2"/>
            <w:tcBorders>
              <w:top w:val="single" w:sz="18" w:space="0" w:color="auto"/>
              <w:left w:val="nil"/>
              <w:bottom w:val="single" w:sz="18" w:space="0" w:color="auto"/>
              <w:right w:val="single" w:sz="8" w:space="0" w:color="auto"/>
            </w:tcBorders>
            <w:shd w:val="clear" w:color="000000" w:fill="92D050"/>
            <w:vAlign w:val="bottom"/>
          </w:tcPr>
          <w:p w14:paraId="74E466DB" w14:textId="4273D72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98.1%</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794AD7F7" w14:textId="711308E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117.1%</w:t>
            </w:r>
          </w:p>
        </w:tc>
        <w:tc>
          <w:tcPr>
            <w:tcW w:w="882" w:type="dxa"/>
            <w:gridSpan w:val="2"/>
            <w:tcBorders>
              <w:top w:val="single" w:sz="18" w:space="0" w:color="auto"/>
              <w:left w:val="nil"/>
              <w:bottom w:val="single" w:sz="18" w:space="0" w:color="auto"/>
              <w:right w:val="single" w:sz="8" w:space="0" w:color="auto"/>
            </w:tcBorders>
            <w:shd w:val="clear" w:color="000000" w:fill="00B0F0"/>
            <w:vAlign w:val="bottom"/>
          </w:tcPr>
          <w:p w14:paraId="474C1B09" w14:textId="0249762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105.2%</w:t>
            </w:r>
          </w:p>
        </w:tc>
      </w:tr>
      <w:tr w:rsidR="00423B45" w:rsidRPr="007B06B3" w14:paraId="408E9005" w14:textId="77777777" w:rsidTr="00633571">
        <w:trPr>
          <w:trHeight w:val="227"/>
        </w:trPr>
        <w:tc>
          <w:tcPr>
            <w:tcW w:w="1592" w:type="dxa"/>
            <w:gridSpan w:val="2"/>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5C75A715"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color w:val="000000"/>
                <w:sz w:val="18"/>
                <w:szCs w:val="18"/>
              </w:rPr>
              <w:t>AAU</w:t>
            </w:r>
          </w:p>
        </w:tc>
        <w:tc>
          <w:tcPr>
            <w:tcW w:w="1667" w:type="dxa"/>
            <w:gridSpan w:val="2"/>
            <w:tcBorders>
              <w:top w:val="single" w:sz="18" w:space="0" w:color="auto"/>
              <w:left w:val="nil"/>
              <w:bottom w:val="single" w:sz="4" w:space="0" w:color="auto"/>
              <w:right w:val="single" w:sz="8" w:space="0" w:color="auto"/>
            </w:tcBorders>
            <w:shd w:val="clear" w:color="000000" w:fill="FFC000"/>
            <w:vAlign w:val="bottom"/>
          </w:tcPr>
          <w:p w14:paraId="2897AD9E" w14:textId="763CA3D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84.2%</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5DEC49D5" w14:textId="0F67982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144.7%</w:t>
            </w:r>
          </w:p>
        </w:tc>
        <w:tc>
          <w:tcPr>
            <w:tcW w:w="1667" w:type="dxa"/>
            <w:gridSpan w:val="2"/>
            <w:tcBorders>
              <w:top w:val="single" w:sz="18" w:space="0" w:color="auto"/>
              <w:left w:val="nil"/>
              <w:bottom w:val="single" w:sz="4" w:space="0" w:color="auto"/>
              <w:right w:val="single" w:sz="8" w:space="0" w:color="auto"/>
            </w:tcBorders>
            <w:shd w:val="clear" w:color="000000" w:fill="FFC000"/>
            <w:vAlign w:val="bottom"/>
          </w:tcPr>
          <w:p w14:paraId="4CD95C80" w14:textId="1445BB0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94.5%</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49BE7876" w14:textId="5225F79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142.9%</w:t>
            </w:r>
          </w:p>
        </w:tc>
        <w:tc>
          <w:tcPr>
            <w:tcW w:w="1147" w:type="dxa"/>
            <w:gridSpan w:val="2"/>
            <w:tcBorders>
              <w:top w:val="single" w:sz="18" w:space="0" w:color="auto"/>
              <w:left w:val="nil"/>
              <w:bottom w:val="single" w:sz="4" w:space="0" w:color="auto"/>
              <w:right w:val="single" w:sz="8" w:space="0" w:color="auto"/>
            </w:tcBorders>
            <w:shd w:val="clear" w:color="000000" w:fill="FFC000"/>
            <w:vAlign w:val="bottom"/>
          </w:tcPr>
          <w:p w14:paraId="2B20182A" w14:textId="1597CD6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88.8%</w:t>
            </w:r>
          </w:p>
        </w:tc>
        <w:tc>
          <w:tcPr>
            <w:tcW w:w="882" w:type="dxa"/>
            <w:tcBorders>
              <w:top w:val="single" w:sz="18" w:space="0" w:color="auto"/>
              <w:left w:val="nil"/>
              <w:bottom w:val="single" w:sz="4" w:space="0" w:color="auto"/>
              <w:right w:val="single" w:sz="8" w:space="0" w:color="auto"/>
            </w:tcBorders>
            <w:shd w:val="clear" w:color="000000" w:fill="00B0F0"/>
            <w:vAlign w:val="bottom"/>
          </w:tcPr>
          <w:p w14:paraId="094BE02C" w14:textId="7BAF735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143.8%</w:t>
            </w:r>
          </w:p>
        </w:tc>
        <w:tc>
          <w:tcPr>
            <w:tcW w:w="882" w:type="dxa"/>
            <w:gridSpan w:val="2"/>
            <w:tcBorders>
              <w:top w:val="single" w:sz="18" w:space="0" w:color="auto"/>
              <w:left w:val="nil"/>
              <w:bottom w:val="single" w:sz="4" w:space="0" w:color="auto"/>
              <w:right w:val="single" w:sz="8" w:space="0" w:color="auto"/>
            </w:tcBorders>
            <w:shd w:val="clear" w:color="000000" w:fill="00B0F0"/>
            <w:vAlign w:val="bottom"/>
          </w:tcPr>
          <w:p w14:paraId="3EE3B474" w14:textId="14E957D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100.3%</w:t>
            </w:r>
          </w:p>
        </w:tc>
      </w:tr>
      <w:tr w:rsidR="00423B45" w:rsidRPr="007B06B3" w14:paraId="4BE758F9" w14:textId="77777777" w:rsidTr="00633571">
        <w:trPr>
          <w:trHeight w:val="227"/>
        </w:trPr>
        <w:tc>
          <w:tcPr>
            <w:tcW w:w="1592" w:type="dxa"/>
            <w:gridSpan w:val="2"/>
            <w:tcBorders>
              <w:top w:val="single" w:sz="8" w:space="0" w:color="auto"/>
              <w:left w:val="single" w:sz="8" w:space="0" w:color="auto"/>
              <w:bottom w:val="single" w:sz="18" w:space="0" w:color="auto"/>
              <w:right w:val="single" w:sz="8" w:space="0" w:color="auto"/>
            </w:tcBorders>
            <w:shd w:val="clear" w:color="auto" w:fill="FFFFFF" w:themeFill="background1"/>
            <w:vAlign w:val="center"/>
          </w:tcPr>
          <w:p w14:paraId="3837ED67"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color w:val="000000"/>
                <w:sz w:val="18"/>
                <w:szCs w:val="18"/>
              </w:rPr>
              <w:t>Charnley</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549B5D3C" w14:textId="56DB3DE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98.9%</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6754B850" w14:textId="33E2913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141.3%</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382FB605" w14:textId="15EAFEE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97.7%</w:t>
            </w:r>
          </w:p>
        </w:tc>
        <w:tc>
          <w:tcPr>
            <w:tcW w:w="941" w:type="dxa"/>
            <w:tcBorders>
              <w:top w:val="single" w:sz="4" w:space="0" w:color="auto"/>
              <w:left w:val="nil"/>
              <w:bottom w:val="single" w:sz="18" w:space="0" w:color="auto"/>
              <w:right w:val="single" w:sz="8" w:space="0" w:color="auto"/>
            </w:tcBorders>
            <w:shd w:val="clear" w:color="000000" w:fill="00B0F0"/>
            <w:vAlign w:val="bottom"/>
          </w:tcPr>
          <w:p w14:paraId="1966B94E" w14:textId="73425FD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152.9%</w:t>
            </w:r>
          </w:p>
        </w:tc>
        <w:tc>
          <w:tcPr>
            <w:tcW w:w="1147" w:type="dxa"/>
            <w:gridSpan w:val="2"/>
            <w:tcBorders>
              <w:top w:val="single" w:sz="4" w:space="0" w:color="auto"/>
              <w:left w:val="nil"/>
              <w:bottom w:val="single" w:sz="18" w:space="0" w:color="auto"/>
              <w:right w:val="single" w:sz="8" w:space="0" w:color="auto"/>
            </w:tcBorders>
            <w:shd w:val="clear" w:color="000000" w:fill="92D050"/>
            <w:vAlign w:val="bottom"/>
          </w:tcPr>
          <w:p w14:paraId="14DFB6DC" w14:textId="5463156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98.3%</w:t>
            </w:r>
          </w:p>
        </w:tc>
        <w:tc>
          <w:tcPr>
            <w:tcW w:w="882" w:type="dxa"/>
            <w:tcBorders>
              <w:top w:val="single" w:sz="4" w:space="0" w:color="auto"/>
              <w:left w:val="nil"/>
              <w:bottom w:val="single" w:sz="18" w:space="0" w:color="auto"/>
              <w:right w:val="single" w:sz="8" w:space="0" w:color="auto"/>
            </w:tcBorders>
            <w:shd w:val="clear" w:color="000000" w:fill="00B0F0"/>
            <w:vAlign w:val="bottom"/>
          </w:tcPr>
          <w:p w14:paraId="6576E15F" w14:textId="783975C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146.8%</w:t>
            </w:r>
          </w:p>
        </w:tc>
        <w:tc>
          <w:tcPr>
            <w:tcW w:w="882" w:type="dxa"/>
            <w:gridSpan w:val="2"/>
            <w:tcBorders>
              <w:top w:val="single" w:sz="4" w:space="0" w:color="auto"/>
              <w:left w:val="nil"/>
              <w:bottom w:val="single" w:sz="18" w:space="0" w:color="auto"/>
              <w:right w:val="single" w:sz="8" w:space="0" w:color="auto"/>
            </w:tcBorders>
            <w:shd w:val="clear" w:color="000000" w:fill="00B0F0"/>
            <w:vAlign w:val="bottom"/>
          </w:tcPr>
          <w:p w14:paraId="1CB0F658" w14:textId="4F6806D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112.2%</w:t>
            </w:r>
          </w:p>
        </w:tc>
      </w:tr>
      <w:tr w:rsidR="00423B45" w:rsidRPr="007B06B3" w14:paraId="60B04C6E" w14:textId="77777777" w:rsidTr="00633571">
        <w:trPr>
          <w:trHeight w:val="227"/>
        </w:trPr>
        <w:tc>
          <w:tcPr>
            <w:tcW w:w="1592" w:type="dxa"/>
            <w:gridSpan w:val="2"/>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054D1B7B" w14:textId="77777777" w:rsidR="00423B45" w:rsidRPr="007B06B3" w:rsidRDefault="00423B45" w:rsidP="00423B45">
            <w:pPr>
              <w:spacing w:after="0" w:line="240" w:lineRule="auto"/>
              <w:rPr>
                <w:rFonts w:ascii="Arial" w:hAnsi="Arial" w:cs="Arial"/>
                <w:b/>
                <w:i/>
                <w:color w:val="000000"/>
                <w:sz w:val="18"/>
                <w:szCs w:val="18"/>
              </w:rPr>
            </w:pPr>
            <w:r w:rsidRPr="007B06B3">
              <w:rPr>
                <w:rFonts w:ascii="Arial" w:hAnsi="Arial" w:cs="Arial"/>
                <w:b/>
                <w:i/>
                <w:color w:val="000000"/>
                <w:sz w:val="18"/>
                <w:szCs w:val="18"/>
              </w:rPr>
              <w:t>UEC Total</w:t>
            </w:r>
          </w:p>
        </w:tc>
        <w:tc>
          <w:tcPr>
            <w:tcW w:w="1667" w:type="dxa"/>
            <w:gridSpan w:val="2"/>
            <w:tcBorders>
              <w:top w:val="single" w:sz="18" w:space="0" w:color="auto"/>
              <w:left w:val="nil"/>
              <w:bottom w:val="single" w:sz="18" w:space="0" w:color="auto"/>
              <w:right w:val="single" w:sz="8" w:space="0" w:color="auto"/>
            </w:tcBorders>
            <w:shd w:val="clear" w:color="000000" w:fill="FFC000"/>
            <w:vAlign w:val="bottom"/>
          </w:tcPr>
          <w:p w14:paraId="7A23FB0C" w14:textId="1ADBE7E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89.9%</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5162F27F" w14:textId="015D82A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143.0%</w:t>
            </w:r>
          </w:p>
        </w:tc>
        <w:tc>
          <w:tcPr>
            <w:tcW w:w="1667" w:type="dxa"/>
            <w:gridSpan w:val="2"/>
            <w:tcBorders>
              <w:top w:val="single" w:sz="18" w:space="0" w:color="auto"/>
              <w:left w:val="nil"/>
              <w:bottom w:val="single" w:sz="18" w:space="0" w:color="auto"/>
              <w:right w:val="single" w:sz="8" w:space="0" w:color="auto"/>
            </w:tcBorders>
            <w:shd w:val="clear" w:color="000000" w:fill="92D050"/>
            <w:vAlign w:val="bottom"/>
          </w:tcPr>
          <w:p w14:paraId="5BFDC4C8" w14:textId="7B694D4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95.8%</w:t>
            </w:r>
          </w:p>
        </w:tc>
        <w:tc>
          <w:tcPr>
            <w:tcW w:w="941" w:type="dxa"/>
            <w:tcBorders>
              <w:top w:val="single" w:sz="18" w:space="0" w:color="auto"/>
              <w:left w:val="nil"/>
              <w:bottom w:val="single" w:sz="18" w:space="0" w:color="auto"/>
              <w:right w:val="single" w:sz="8" w:space="0" w:color="auto"/>
            </w:tcBorders>
            <w:shd w:val="clear" w:color="000000" w:fill="00B0F0"/>
            <w:vAlign w:val="bottom"/>
          </w:tcPr>
          <w:p w14:paraId="317313E9" w14:textId="11C6812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147.9%</w:t>
            </w:r>
          </w:p>
        </w:tc>
        <w:tc>
          <w:tcPr>
            <w:tcW w:w="1147" w:type="dxa"/>
            <w:gridSpan w:val="2"/>
            <w:tcBorders>
              <w:top w:val="single" w:sz="18" w:space="0" w:color="auto"/>
              <w:left w:val="nil"/>
              <w:bottom w:val="single" w:sz="18" w:space="0" w:color="auto"/>
              <w:right w:val="single" w:sz="8" w:space="0" w:color="auto"/>
            </w:tcBorders>
            <w:shd w:val="clear" w:color="000000" w:fill="FFC000"/>
            <w:vAlign w:val="bottom"/>
          </w:tcPr>
          <w:p w14:paraId="26CF90A9" w14:textId="0754700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92.6%</w:t>
            </w:r>
          </w:p>
        </w:tc>
        <w:tc>
          <w:tcPr>
            <w:tcW w:w="882" w:type="dxa"/>
            <w:tcBorders>
              <w:top w:val="single" w:sz="18" w:space="0" w:color="auto"/>
              <w:left w:val="nil"/>
              <w:bottom w:val="single" w:sz="18" w:space="0" w:color="auto"/>
              <w:right w:val="single" w:sz="8" w:space="0" w:color="auto"/>
            </w:tcBorders>
            <w:shd w:val="clear" w:color="000000" w:fill="00B0F0"/>
            <w:vAlign w:val="bottom"/>
          </w:tcPr>
          <w:p w14:paraId="03ED7405" w14:textId="4D5AC0B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145.3%</w:t>
            </w:r>
          </w:p>
        </w:tc>
        <w:tc>
          <w:tcPr>
            <w:tcW w:w="882" w:type="dxa"/>
            <w:gridSpan w:val="2"/>
            <w:tcBorders>
              <w:top w:val="single" w:sz="18" w:space="0" w:color="auto"/>
              <w:left w:val="nil"/>
              <w:bottom w:val="single" w:sz="18" w:space="0" w:color="auto"/>
              <w:right w:val="single" w:sz="8" w:space="0" w:color="auto"/>
            </w:tcBorders>
            <w:shd w:val="clear" w:color="000000" w:fill="00B0F0"/>
            <w:vAlign w:val="bottom"/>
          </w:tcPr>
          <w:p w14:paraId="4788A860" w14:textId="2DA0163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105.4%</w:t>
            </w:r>
          </w:p>
        </w:tc>
      </w:tr>
      <w:tr w:rsidR="00423B45" w:rsidRPr="007B06B3" w14:paraId="43CA7DBD" w14:textId="77777777" w:rsidTr="00633571">
        <w:trPr>
          <w:trHeight w:val="227"/>
        </w:trPr>
        <w:tc>
          <w:tcPr>
            <w:tcW w:w="1592" w:type="dxa"/>
            <w:gridSpan w:val="2"/>
            <w:tcBorders>
              <w:top w:val="single" w:sz="18" w:space="0" w:color="auto"/>
              <w:left w:val="single" w:sz="8" w:space="0" w:color="auto"/>
              <w:bottom w:val="single" w:sz="8" w:space="0" w:color="auto"/>
              <w:right w:val="single" w:sz="8" w:space="0" w:color="auto"/>
            </w:tcBorders>
            <w:vAlign w:val="center"/>
          </w:tcPr>
          <w:p w14:paraId="667104D4"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Birthing</w:t>
            </w:r>
          </w:p>
        </w:tc>
        <w:tc>
          <w:tcPr>
            <w:tcW w:w="1667" w:type="dxa"/>
            <w:gridSpan w:val="2"/>
            <w:tcBorders>
              <w:top w:val="single" w:sz="18" w:space="0" w:color="auto"/>
              <w:left w:val="nil"/>
              <w:bottom w:val="single" w:sz="4" w:space="0" w:color="auto"/>
              <w:right w:val="single" w:sz="8" w:space="0" w:color="auto"/>
            </w:tcBorders>
            <w:shd w:val="clear" w:color="000000" w:fill="FFC000"/>
            <w:vAlign w:val="bottom"/>
          </w:tcPr>
          <w:p w14:paraId="18D3364C" w14:textId="383B6E0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82.3%</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79D6D00E" w14:textId="5AF9C40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102.3%</w:t>
            </w:r>
          </w:p>
        </w:tc>
        <w:tc>
          <w:tcPr>
            <w:tcW w:w="1667" w:type="dxa"/>
            <w:gridSpan w:val="2"/>
            <w:tcBorders>
              <w:top w:val="single" w:sz="18" w:space="0" w:color="auto"/>
              <w:left w:val="nil"/>
              <w:bottom w:val="single" w:sz="4" w:space="0" w:color="auto"/>
              <w:right w:val="single" w:sz="8" w:space="0" w:color="auto"/>
            </w:tcBorders>
            <w:shd w:val="clear" w:color="000000" w:fill="FFC000"/>
            <w:vAlign w:val="bottom"/>
          </w:tcPr>
          <w:p w14:paraId="40F8B01B" w14:textId="3AE35D6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87.9%</w:t>
            </w:r>
          </w:p>
        </w:tc>
        <w:tc>
          <w:tcPr>
            <w:tcW w:w="941" w:type="dxa"/>
            <w:tcBorders>
              <w:top w:val="single" w:sz="18" w:space="0" w:color="auto"/>
              <w:left w:val="nil"/>
              <w:bottom w:val="single" w:sz="4" w:space="0" w:color="auto"/>
              <w:right w:val="single" w:sz="8" w:space="0" w:color="auto"/>
            </w:tcBorders>
            <w:shd w:val="clear" w:color="000000" w:fill="FFC000"/>
            <w:vAlign w:val="bottom"/>
          </w:tcPr>
          <w:p w14:paraId="1F88E1F0" w14:textId="3F82E5C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80.6%</w:t>
            </w:r>
          </w:p>
        </w:tc>
        <w:tc>
          <w:tcPr>
            <w:tcW w:w="1147" w:type="dxa"/>
            <w:gridSpan w:val="2"/>
            <w:tcBorders>
              <w:top w:val="single" w:sz="18" w:space="0" w:color="auto"/>
              <w:left w:val="nil"/>
              <w:bottom w:val="single" w:sz="4" w:space="0" w:color="auto"/>
              <w:right w:val="single" w:sz="8" w:space="0" w:color="auto"/>
            </w:tcBorders>
            <w:shd w:val="clear" w:color="000000" w:fill="FFC000"/>
            <w:vAlign w:val="bottom"/>
          </w:tcPr>
          <w:p w14:paraId="61507DC4" w14:textId="1BB4CC7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85.0%</w:t>
            </w:r>
          </w:p>
        </w:tc>
        <w:tc>
          <w:tcPr>
            <w:tcW w:w="882" w:type="dxa"/>
            <w:tcBorders>
              <w:top w:val="single" w:sz="18" w:space="0" w:color="auto"/>
              <w:left w:val="nil"/>
              <w:bottom w:val="single" w:sz="4" w:space="0" w:color="auto"/>
              <w:right w:val="single" w:sz="8" w:space="0" w:color="auto"/>
            </w:tcBorders>
            <w:shd w:val="clear" w:color="000000" w:fill="FFC000"/>
            <w:vAlign w:val="bottom"/>
          </w:tcPr>
          <w:p w14:paraId="67F5B047" w14:textId="0214E9A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92.0%</w:t>
            </w:r>
          </w:p>
        </w:tc>
        <w:tc>
          <w:tcPr>
            <w:tcW w:w="882" w:type="dxa"/>
            <w:gridSpan w:val="2"/>
            <w:tcBorders>
              <w:top w:val="single" w:sz="18" w:space="0" w:color="auto"/>
              <w:left w:val="nil"/>
              <w:bottom w:val="single" w:sz="4" w:space="0" w:color="auto"/>
              <w:right w:val="single" w:sz="8" w:space="0" w:color="auto"/>
            </w:tcBorders>
            <w:shd w:val="clear" w:color="000000" w:fill="FFC000"/>
            <w:vAlign w:val="bottom"/>
          </w:tcPr>
          <w:p w14:paraId="57787918" w14:textId="77540E7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87.3%</w:t>
            </w:r>
          </w:p>
        </w:tc>
      </w:tr>
      <w:tr w:rsidR="00423B45" w:rsidRPr="007B06B3" w14:paraId="60F93A38"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4A468457"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Chamberlen</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0E4FDECA" w14:textId="6EBB0B6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92.6%</w:t>
            </w:r>
          </w:p>
        </w:tc>
        <w:tc>
          <w:tcPr>
            <w:tcW w:w="941" w:type="dxa"/>
            <w:tcBorders>
              <w:top w:val="single" w:sz="4" w:space="0" w:color="auto"/>
              <w:left w:val="nil"/>
              <w:bottom w:val="single" w:sz="4" w:space="0" w:color="auto"/>
              <w:right w:val="single" w:sz="8" w:space="0" w:color="auto"/>
            </w:tcBorders>
            <w:shd w:val="clear" w:color="000000" w:fill="FF0000"/>
            <w:vAlign w:val="bottom"/>
          </w:tcPr>
          <w:p w14:paraId="2922B56A" w14:textId="18B12CB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72.8%</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339668AB" w14:textId="600C0D5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97.1%</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2C3A34B3" w14:textId="4967AAC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90.3%</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500482EE" w14:textId="2910542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94.7%</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581FBE60" w14:textId="727992F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81.2%</w:t>
            </w:r>
          </w:p>
        </w:tc>
        <w:tc>
          <w:tcPr>
            <w:tcW w:w="882" w:type="dxa"/>
            <w:gridSpan w:val="2"/>
            <w:tcBorders>
              <w:top w:val="single" w:sz="4" w:space="0" w:color="auto"/>
              <w:left w:val="nil"/>
              <w:bottom w:val="single" w:sz="4" w:space="0" w:color="auto"/>
              <w:right w:val="single" w:sz="8" w:space="0" w:color="auto"/>
            </w:tcBorders>
            <w:shd w:val="clear" w:color="000000" w:fill="FFC000"/>
            <w:vAlign w:val="bottom"/>
          </w:tcPr>
          <w:p w14:paraId="54D74184" w14:textId="3D08FBE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91.3%</w:t>
            </w:r>
          </w:p>
        </w:tc>
      </w:tr>
      <w:tr w:rsidR="00423B45" w:rsidRPr="007B06B3" w14:paraId="04F57B8A"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543B6B4E"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Dolphin</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06907DEF" w14:textId="1CB4C0D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100.6%</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703BF132" w14:textId="5D568524"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79.0%</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46A0EDEB" w14:textId="5B3EA72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110.8%</w:t>
            </w:r>
          </w:p>
        </w:tc>
        <w:tc>
          <w:tcPr>
            <w:tcW w:w="941" w:type="dxa"/>
            <w:tcBorders>
              <w:top w:val="single" w:sz="4" w:space="0" w:color="auto"/>
              <w:left w:val="nil"/>
              <w:bottom w:val="single" w:sz="4" w:space="0" w:color="auto"/>
              <w:right w:val="single" w:sz="8" w:space="0" w:color="auto"/>
            </w:tcBorders>
            <w:shd w:val="clear" w:color="000000" w:fill="00B0F0"/>
            <w:vAlign w:val="bottom"/>
          </w:tcPr>
          <w:p w14:paraId="26D439CC" w14:textId="0D9F13F5"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103.8%</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36BA1064" w14:textId="2ACD457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105.1%</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1B139888" w14:textId="1FEFC20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87.2%</w:t>
            </w:r>
          </w:p>
        </w:tc>
        <w:tc>
          <w:tcPr>
            <w:tcW w:w="882" w:type="dxa"/>
            <w:gridSpan w:val="2"/>
            <w:tcBorders>
              <w:top w:val="single" w:sz="4" w:space="0" w:color="auto"/>
              <w:left w:val="nil"/>
              <w:bottom w:val="single" w:sz="4" w:space="0" w:color="auto"/>
              <w:right w:val="single" w:sz="8" w:space="0" w:color="auto"/>
            </w:tcBorders>
            <w:shd w:val="clear" w:color="000000" w:fill="00B0F0"/>
            <w:vAlign w:val="bottom"/>
          </w:tcPr>
          <w:p w14:paraId="59CF68D4" w14:textId="4BF426F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100.7%</w:t>
            </w:r>
          </w:p>
        </w:tc>
      </w:tr>
      <w:tr w:rsidR="00423B45" w:rsidRPr="007B06B3" w14:paraId="4AA508D3"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58910D89"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Labour</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4FC127A5" w14:textId="7086CA8F"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101.3%</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401ACDD7" w14:textId="7E15B61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91.1%</w:t>
            </w:r>
          </w:p>
        </w:tc>
        <w:tc>
          <w:tcPr>
            <w:tcW w:w="1667" w:type="dxa"/>
            <w:gridSpan w:val="2"/>
            <w:tcBorders>
              <w:top w:val="single" w:sz="4" w:space="0" w:color="auto"/>
              <w:left w:val="nil"/>
              <w:bottom w:val="single" w:sz="4" w:space="0" w:color="auto"/>
              <w:right w:val="single" w:sz="8" w:space="0" w:color="auto"/>
            </w:tcBorders>
            <w:shd w:val="clear" w:color="000000" w:fill="00B0F0"/>
            <w:vAlign w:val="bottom"/>
          </w:tcPr>
          <w:p w14:paraId="5F579655" w14:textId="21F6E6E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102.3%</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3E2F23EE" w14:textId="1805B47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91.1%</w:t>
            </w:r>
          </w:p>
        </w:tc>
        <w:tc>
          <w:tcPr>
            <w:tcW w:w="1147" w:type="dxa"/>
            <w:gridSpan w:val="2"/>
            <w:tcBorders>
              <w:top w:val="single" w:sz="4" w:space="0" w:color="auto"/>
              <w:left w:val="nil"/>
              <w:bottom w:val="single" w:sz="4" w:space="0" w:color="auto"/>
              <w:right w:val="single" w:sz="8" w:space="0" w:color="auto"/>
            </w:tcBorders>
            <w:shd w:val="clear" w:color="000000" w:fill="00B0F0"/>
            <w:vAlign w:val="bottom"/>
          </w:tcPr>
          <w:p w14:paraId="31822E43" w14:textId="2DEA079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101.8%</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6A35A125" w14:textId="0630E53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91.1%</w:t>
            </w:r>
          </w:p>
        </w:tc>
        <w:tc>
          <w:tcPr>
            <w:tcW w:w="882" w:type="dxa"/>
            <w:gridSpan w:val="2"/>
            <w:tcBorders>
              <w:top w:val="single" w:sz="4" w:space="0" w:color="auto"/>
              <w:left w:val="nil"/>
              <w:bottom w:val="single" w:sz="4" w:space="0" w:color="auto"/>
              <w:right w:val="single" w:sz="8" w:space="0" w:color="auto"/>
            </w:tcBorders>
            <w:shd w:val="clear" w:color="000000" w:fill="92D050"/>
            <w:vAlign w:val="bottom"/>
          </w:tcPr>
          <w:p w14:paraId="2673FC5B" w14:textId="1CD6813E"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99.4%</w:t>
            </w:r>
          </w:p>
        </w:tc>
      </w:tr>
      <w:tr w:rsidR="00423B45" w:rsidRPr="007B06B3" w14:paraId="06E8B36A" w14:textId="77777777" w:rsidTr="00633571">
        <w:trPr>
          <w:trHeight w:val="227"/>
        </w:trPr>
        <w:tc>
          <w:tcPr>
            <w:tcW w:w="1592" w:type="dxa"/>
            <w:gridSpan w:val="2"/>
            <w:tcBorders>
              <w:top w:val="single" w:sz="8" w:space="0" w:color="auto"/>
              <w:left w:val="single" w:sz="8" w:space="0" w:color="auto"/>
              <w:bottom w:val="single" w:sz="8" w:space="0" w:color="auto"/>
              <w:right w:val="single" w:sz="8" w:space="0" w:color="auto"/>
            </w:tcBorders>
            <w:vAlign w:val="center"/>
          </w:tcPr>
          <w:p w14:paraId="3850515B"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Neo-Natal Unit</w:t>
            </w:r>
          </w:p>
        </w:tc>
        <w:tc>
          <w:tcPr>
            <w:tcW w:w="1667" w:type="dxa"/>
            <w:gridSpan w:val="2"/>
            <w:tcBorders>
              <w:top w:val="single" w:sz="4" w:space="0" w:color="auto"/>
              <w:left w:val="nil"/>
              <w:bottom w:val="single" w:sz="4" w:space="0" w:color="auto"/>
              <w:right w:val="single" w:sz="8" w:space="0" w:color="auto"/>
            </w:tcBorders>
            <w:shd w:val="clear" w:color="000000" w:fill="FFC000"/>
            <w:vAlign w:val="bottom"/>
          </w:tcPr>
          <w:p w14:paraId="7C4DED91" w14:textId="6C28F09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93.3%</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549FC7E3" w14:textId="79A23B6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86.0%</w:t>
            </w:r>
          </w:p>
        </w:tc>
        <w:tc>
          <w:tcPr>
            <w:tcW w:w="1667" w:type="dxa"/>
            <w:gridSpan w:val="2"/>
            <w:tcBorders>
              <w:top w:val="single" w:sz="4" w:space="0" w:color="auto"/>
              <w:left w:val="nil"/>
              <w:bottom w:val="single" w:sz="4" w:space="0" w:color="auto"/>
              <w:right w:val="single" w:sz="8" w:space="0" w:color="auto"/>
            </w:tcBorders>
            <w:shd w:val="clear" w:color="000000" w:fill="92D050"/>
            <w:vAlign w:val="bottom"/>
          </w:tcPr>
          <w:p w14:paraId="10C4452E" w14:textId="5FCEA08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95.5%</w:t>
            </w:r>
          </w:p>
        </w:tc>
        <w:tc>
          <w:tcPr>
            <w:tcW w:w="941" w:type="dxa"/>
            <w:tcBorders>
              <w:top w:val="single" w:sz="4" w:space="0" w:color="auto"/>
              <w:left w:val="nil"/>
              <w:bottom w:val="single" w:sz="4" w:space="0" w:color="auto"/>
              <w:right w:val="single" w:sz="8" w:space="0" w:color="auto"/>
            </w:tcBorders>
            <w:shd w:val="clear" w:color="000000" w:fill="FFC000"/>
            <w:vAlign w:val="bottom"/>
          </w:tcPr>
          <w:p w14:paraId="549EB6E6" w14:textId="14F17CD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87.1%</w:t>
            </w:r>
          </w:p>
        </w:tc>
        <w:tc>
          <w:tcPr>
            <w:tcW w:w="1147" w:type="dxa"/>
            <w:gridSpan w:val="2"/>
            <w:tcBorders>
              <w:top w:val="single" w:sz="4" w:space="0" w:color="auto"/>
              <w:left w:val="nil"/>
              <w:bottom w:val="single" w:sz="4" w:space="0" w:color="auto"/>
              <w:right w:val="single" w:sz="8" w:space="0" w:color="auto"/>
            </w:tcBorders>
            <w:shd w:val="clear" w:color="000000" w:fill="FFC000"/>
            <w:vAlign w:val="bottom"/>
          </w:tcPr>
          <w:p w14:paraId="67DB7071" w14:textId="0F4E17A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94.4%</w:t>
            </w:r>
          </w:p>
        </w:tc>
        <w:tc>
          <w:tcPr>
            <w:tcW w:w="882" w:type="dxa"/>
            <w:tcBorders>
              <w:top w:val="single" w:sz="4" w:space="0" w:color="auto"/>
              <w:left w:val="nil"/>
              <w:bottom w:val="single" w:sz="4" w:space="0" w:color="auto"/>
              <w:right w:val="single" w:sz="8" w:space="0" w:color="auto"/>
            </w:tcBorders>
            <w:shd w:val="clear" w:color="000000" w:fill="FFC000"/>
            <w:vAlign w:val="bottom"/>
          </w:tcPr>
          <w:p w14:paraId="6875858D" w14:textId="41ED035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86.5%</w:t>
            </w:r>
          </w:p>
        </w:tc>
        <w:tc>
          <w:tcPr>
            <w:tcW w:w="882" w:type="dxa"/>
            <w:gridSpan w:val="2"/>
            <w:tcBorders>
              <w:top w:val="single" w:sz="4" w:space="0" w:color="auto"/>
              <w:left w:val="nil"/>
              <w:bottom w:val="single" w:sz="4" w:space="0" w:color="auto"/>
              <w:right w:val="single" w:sz="8" w:space="0" w:color="auto"/>
            </w:tcBorders>
            <w:shd w:val="clear" w:color="000000" w:fill="FFC000"/>
            <w:vAlign w:val="bottom"/>
          </w:tcPr>
          <w:p w14:paraId="7F915EA4" w14:textId="3CA696A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93.1%</w:t>
            </w:r>
          </w:p>
        </w:tc>
      </w:tr>
      <w:tr w:rsidR="00423B45" w:rsidRPr="007B06B3" w14:paraId="26D2B52B" w14:textId="77777777" w:rsidTr="00633571">
        <w:trPr>
          <w:trHeight w:val="227"/>
        </w:trPr>
        <w:tc>
          <w:tcPr>
            <w:tcW w:w="1592" w:type="dxa"/>
            <w:gridSpan w:val="2"/>
            <w:tcBorders>
              <w:top w:val="single" w:sz="8" w:space="0" w:color="auto"/>
              <w:left w:val="single" w:sz="8" w:space="0" w:color="auto"/>
              <w:bottom w:val="single" w:sz="18" w:space="0" w:color="auto"/>
              <w:right w:val="single" w:sz="8" w:space="0" w:color="auto"/>
            </w:tcBorders>
            <w:vAlign w:val="center"/>
          </w:tcPr>
          <w:p w14:paraId="2837AA79" w14:textId="77777777" w:rsidR="00423B45" w:rsidRPr="007B06B3" w:rsidRDefault="00423B45" w:rsidP="00423B45">
            <w:pPr>
              <w:spacing w:after="0" w:line="240" w:lineRule="auto"/>
              <w:rPr>
                <w:rFonts w:ascii="Arial" w:hAnsi="Arial" w:cs="Arial"/>
                <w:color w:val="000000"/>
                <w:sz w:val="18"/>
                <w:szCs w:val="18"/>
              </w:rPr>
            </w:pPr>
            <w:r w:rsidRPr="007B06B3">
              <w:rPr>
                <w:rFonts w:ascii="Arial" w:hAnsi="Arial" w:cs="Arial"/>
                <w:sz w:val="18"/>
                <w:szCs w:val="18"/>
              </w:rPr>
              <w:t>Samson</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7A93A9F0" w14:textId="5DEF0B71"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95.9%</w:t>
            </w:r>
          </w:p>
        </w:tc>
        <w:tc>
          <w:tcPr>
            <w:tcW w:w="941" w:type="dxa"/>
            <w:tcBorders>
              <w:top w:val="single" w:sz="4" w:space="0" w:color="auto"/>
              <w:left w:val="nil"/>
              <w:bottom w:val="single" w:sz="18" w:space="0" w:color="auto"/>
              <w:right w:val="single" w:sz="8" w:space="0" w:color="auto"/>
            </w:tcBorders>
            <w:shd w:val="clear" w:color="000000" w:fill="FFC000"/>
            <w:vAlign w:val="bottom"/>
          </w:tcPr>
          <w:p w14:paraId="0DEB4F0E" w14:textId="3696C86A"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85.5%</w:t>
            </w:r>
          </w:p>
        </w:tc>
        <w:tc>
          <w:tcPr>
            <w:tcW w:w="1667" w:type="dxa"/>
            <w:gridSpan w:val="2"/>
            <w:tcBorders>
              <w:top w:val="single" w:sz="4" w:space="0" w:color="auto"/>
              <w:left w:val="nil"/>
              <w:bottom w:val="single" w:sz="18" w:space="0" w:color="auto"/>
              <w:right w:val="single" w:sz="8" w:space="0" w:color="auto"/>
            </w:tcBorders>
            <w:shd w:val="clear" w:color="000000" w:fill="92D050"/>
            <w:vAlign w:val="bottom"/>
          </w:tcPr>
          <w:p w14:paraId="17449119" w14:textId="5193669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96.8%</w:t>
            </w:r>
          </w:p>
        </w:tc>
        <w:tc>
          <w:tcPr>
            <w:tcW w:w="941" w:type="dxa"/>
            <w:tcBorders>
              <w:top w:val="single" w:sz="4" w:space="0" w:color="auto"/>
              <w:left w:val="nil"/>
              <w:bottom w:val="single" w:sz="18" w:space="0" w:color="auto"/>
              <w:right w:val="single" w:sz="8" w:space="0" w:color="auto"/>
            </w:tcBorders>
            <w:shd w:val="clear" w:color="000000" w:fill="FFC000"/>
            <w:vAlign w:val="bottom"/>
          </w:tcPr>
          <w:p w14:paraId="3C7F2AB9" w14:textId="1ED3B820"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93.5%</w:t>
            </w:r>
          </w:p>
        </w:tc>
        <w:tc>
          <w:tcPr>
            <w:tcW w:w="1147" w:type="dxa"/>
            <w:gridSpan w:val="2"/>
            <w:tcBorders>
              <w:top w:val="single" w:sz="4" w:space="0" w:color="auto"/>
              <w:left w:val="nil"/>
              <w:bottom w:val="single" w:sz="18" w:space="0" w:color="auto"/>
              <w:right w:val="single" w:sz="8" w:space="0" w:color="auto"/>
            </w:tcBorders>
            <w:shd w:val="clear" w:color="000000" w:fill="92D050"/>
            <w:vAlign w:val="bottom"/>
          </w:tcPr>
          <w:p w14:paraId="7596CF59" w14:textId="3B4B747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96.3%</w:t>
            </w:r>
          </w:p>
        </w:tc>
        <w:tc>
          <w:tcPr>
            <w:tcW w:w="882" w:type="dxa"/>
            <w:tcBorders>
              <w:top w:val="single" w:sz="4" w:space="0" w:color="auto"/>
              <w:left w:val="nil"/>
              <w:bottom w:val="single" w:sz="18" w:space="0" w:color="auto"/>
              <w:right w:val="single" w:sz="8" w:space="0" w:color="auto"/>
            </w:tcBorders>
            <w:shd w:val="clear" w:color="000000" w:fill="FFC000"/>
            <w:vAlign w:val="bottom"/>
          </w:tcPr>
          <w:p w14:paraId="359D88DC" w14:textId="58C01F6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89.3%</w:t>
            </w:r>
          </w:p>
        </w:tc>
        <w:tc>
          <w:tcPr>
            <w:tcW w:w="882" w:type="dxa"/>
            <w:gridSpan w:val="2"/>
            <w:tcBorders>
              <w:top w:val="single" w:sz="4" w:space="0" w:color="auto"/>
              <w:left w:val="nil"/>
              <w:bottom w:val="single" w:sz="18" w:space="0" w:color="auto"/>
              <w:right w:val="single" w:sz="8" w:space="0" w:color="auto"/>
            </w:tcBorders>
            <w:shd w:val="clear" w:color="000000" w:fill="FFC000"/>
            <w:vAlign w:val="bottom"/>
          </w:tcPr>
          <w:p w14:paraId="77983FC1" w14:textId="5D82476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92.3%</w:t>
            </w:r>
          </w:p>
        </w:tc>
      </w:tr>
      <w:tr w:rsidR="00423B45" w:rsidRPr="007B06B3" w14:paraId="009E3138" w14:textId="77777777" w:rsidTr="00633571">
        <w:trPr>
          <w:trHeight w:val="227"/>
        </w:trPr>
        <w:tc>
          <w:tcPr>
            <w:tcW w:w="1592" w:type="dxa"/>
            <w:gridSpan w:val="2"/>
            <w:tcBorders>
              <w:top w:val="single" w:sz="18" w:space="0" w:color="auto"/>
              <w:left w:val="single" w:sz="8" w:space="0" w:color="auto"/>
              <w:bottom w:val="single" w:sz="18" w:space="0" w:color="auto"/>
              <w:right w:val="single" w:sz="8" w:space="0" w:color="auto"/>
            </w:tcBorders>
            <w:shd w:val="clear" w:color="auto" w:fill="D9E2F3" w:themeFill="accent1" w:themeFillTint="33"/>
            <w:vAlign w:val="center"/>
          </w:tcPr>
          <w:p w14:paraId="7C7CF561" w14:textId="77777777" w:rsidR="00423B45" w:rsidRPr="007B06B3" w:rsidRDefault="00423B45" w:rsidP="00423B45">
            <w:pPr>
              <w:spacing w:after="0" w:line="240" w:lineRule="auto"/>
              <w:rPr>
                <w:rFonts w:ascii="Arial" w:hAnsi="Arial" w:cs="Arial"/>
                <w:b/>
                <w:i/>
                <w:color w:val="000000"/>
                <w:sz w:val="18"/>
                <w:szCs w:val="18"/>
              </w:rPr>
            </w:pPr>
            <w:r w:rsidRPr="007B06B3">
              <w:rPr>
                <w:rFonts w:ascii="Arial" w:hAnsi="Arial" w:cs="Arial"/>
                <w:b/>
                <w:i/>
                <w:color w:val="000000"/>
                <w:sz w:val="18"/>
                <w:szCs w:val="18"/>
              </w:rPr>
              <w:t xml:space="preserve">CHAWS Total </w:t>
            </w:r>
          </w:p>
        </w:tc>
        <w:tc>
          <w:tcPr>
            <w:tcW w:w="1667" w:type="dxa"/>
            <w:gridSpan w:val="2"/>
            <w:tcBorders>
              <w:top w:val="single" w:sz="18" w:space="0" w:color="auto"/>
              <w:left w:val="nil"/>
              <w:bottom w:val="single" w:sz="18" w:space="0" w:color="auto"/>
              <w:right w:val="single" w:sz="8" w:space="0" w:color="auto"/>
            </w:tcBorders>
            <w:shd w:val="clear" w:color="000000" w:fill="92D050"/>
            <w:vAlign w:val="bottom"/>
          </w:tcPr>
          <w:p w14:paraId="60DE845F" w14:textId="69FB0E9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96.3%</w:t>
            </w:r>
          </w:p>
        </w:tc>
        <w:tc>
          <w:tcPr>
            <w:tcW w:w="941" w:type="dxa"/>
            <w:tcBorders>
              <w:top w:val="single" w:sz="18" w:space="0" w:color="auto"/>
              <w:left w:val="nil"/>
              <w:bottom w:val="single" w:sz="18" w:space="0" w:color="auto"/>
              <w:right w:val="single" w:sz="8" w:space="0" w:color="auto"/>
            </w:tcBorders>
            <w:shd w:val="clear" w:color="000000" w:fill="FFC000"/>
            <w:vAlign w:val="bottom"/>
          </w:tcPr>
          <w:p w14:paraId="53890D59" w14:textId="5F6BA992"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85.8%</w:t>
            </w:r>
          </w:p>
        </w:tc>
        <w:tc>
          <w:tcPr>
            <w:tcW w:w="1667" w:type="dxa"/>
            <w:gridSpan w:val="2"/>
            <w:tcBorders>
              <w:top w:val="single" w:sz="18" w:space="0" w:color="auto"/>
              <w:left w:val="nil"/>
              <w:bottom w:val="single" w:sz="18" w:space="0" w:color="auto"/>
              <w:right w:val="single" w:sz="8" w:space="0" w:color="auto"/>
            </w:tcBorders>
            <w:shd w:val="clear" w:color="000000" w:fill="92D050"/>
            <w:vAlign w:val="bottom"/>
          </w:tcPr>
          <w:p w14:paraId="4BD1EB32" w14:textId="4055236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99.8%</w:t>
            </w:r>
          </w:p>
        </w:tc>
        <w:tc>
          <w:tcPr>
            <w:tcW w:w="941" w:type="dxa"/>
            <w:tcBorders>
              <w:top w:val="single" w:sz="18" w:space="0" w:color="auto"/>
              <w:left w:val="nil"/>
              <w:bottom w:val="single" w:sz="18" w:space="0" w:color="auto"/>
              <w:right w:val="single" w:sz="8" w:space="0" w:color="auto"/>
            </w:tcBorders>
            <w:shd w:val="clear" w:color="000000" w:fill="FFC000"/>
            <w:vAlign w:val="bottom"/>
          </w:tcPr>
          <w:p w14:paraId="4F38AB2A" w14:textId="1D3BE65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91.8%</w:t>
            </w:r>
          </w:p>
        </w:tc>
        <w:tc>
          <w:tcPr>
            <w:tcW w:w="1147" w:type="dxa"/>
            <w:gridSpan w:val="2"/>
            <w:tcBorders>
              <w:top w:val="single" w:sz="18" w:space="0" w:color="auto"/>
              <w:left w:val="nil"/>
              <w:bottom w:val="single" w:sz="18" w:space="0" w:color="auto"/>
              <w:right w:val="single" w:sz="8" w:space="0" w:color="auto"/>
            </w:tcBorders>
            <w:shd w:val="clear" w:color="000000" w:fill="92D050"/>
            <w:vAlign w:val="bottom"/>
          </w:tcPr>
          <w:p w14:paraId="4C0B4778" w14:textId="1E002266"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98.0%</w:t>
            </w:r>
          </w:p>
        </w:tc>
        <w:tc>
          <w:tcPr>
            <w:tcW w:w="882" w:type="dxa"/>
            <w:tcBorders>
              <w:top w:val="single" w:sz="18" w:space="0" w:color="auto"/>
              <w:left w:val="nil"/>
              <w:bottom w:val="single" w:sz="18" w:space="0" w:color="auto"/>
              <w:right w:val="single" w:sz="8" w:space="0" w:color="auto"/>
            </w:tcBorders>
            <w:shd w:val="clear" w:color="000000" w:fill="FFC000"/>
            <w:vAlign w:val="bottom"/>
          </w:tcPr>
          <w:p w14:paraId="67C19EEF" w14:textId="06345C87"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88.6%</w:t>
            </w:r>
          </w:p>
        </w:tc>
        <w:tc>
          <w:tcPr>
            <w:tcW w:w="882" w:type="dxa"/>
            <w:gridSpan w:val="2"/>
            <w:tcBorders>
              <w:top w:val="single" w:sz="18" w:space="0" w:color="auto"/>
              <w:left w:val="nil"/>
              <w:bottom w:val="single" w:sz="18" w:space="0" w:color="auto"/>
              <w:right w:val="single" w:sz="8" w:space="0" w:color="auto"/>
            </w:tcBorders>
            <w:shd w:val="clear" w:color="000000" w:fill="92D050"/>
            <w:vAlign w:val="bottom"/>
          </w:tcPr>
          <w:p w14:paraId="09FB1696" w14:textId="21CE66BC"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95.2%</w:t>
            </w:r>
          </w:p>
        </w:tc>
      </w:tr>
      <w:tr w:rsidR="00423B45" w:rsidRPr="007B06B3" w14:paraId="589DCDAE" w14:textId="77777777" w:rsidTr="00633571">
        <w:trPr>
          <w:trHeight w:val="227"/>
        </w:trPr>
        <w:tc>
          <w:tcPr>
            <w:tcW w:w="1592" w:type="dxa"/>
            <w:gridSpan w:val="2"/>
            <w:tcBorders>
              <w:top w:val="single" w:sz="18" w:space="0" w:color="auto"/>
              <w:left w:val="single" w:sz="8" w:space="0" w:color="auto"/>
              <w:bottom w:val="single" w:sz="8" w:space="0" w:color="auto"/>
              <w:right w:val="single" w:sz="8" w:space="0" w:color="auto"/>
            </w:tcBorders>
            <w:shd w:val="clear" w:color="auto" w:fill="BDD6EE" w:themeFill="accent5" w:themeFillTint="66"/>
            <w:vAlign w:val="center"/>
          </w:tcPr>
          <w:p w14:paraId="4FD2D1B6" w14:textId="77777777" w:rsidR="00423B45" w:rsidRPr="007B06B3" w:rsidRDefault="00423B45" w:rsidP="00423B45">
            <w:pPr>
              <w:spacing w:after="0" w:line="240" w:lineRule="auto"/>
              <w:rPr>
                <w:rFonts w:ascii="Arial" w:hAnsi="Arial" w:cs="Arial"/>
                <w:b/>
                <w:i/>
                <w:color w:val="000000"/>
                <w:sz w:val="18"/>
                <w:szCs w:val="18"/>
              </w:rPr>
            </w:pPr>
            <w:r w:rsidRPr="007B06B3">
              <w:rPr>
                <w:rFonts w:ascii="Arial" w:hAnsi="Arial" w:cs="Arial"/>
                <w:b/>
                <w:i/>
                <w:color w:val="000000"/>
                <w:sz w:val="18"/>
                <w:szCs w:val="18"/>
              </w:rPr>
              <w:t>Total</w:t>
            </w:r>
          </w:p>
        </w:tc>
        <w:tc>
          <w:tcPr>
            <w:tcW w:w="1667" w:type="dxa"/>
            <w:gridSpan w:val="2"/>
            <w:tcBorders>
              <w:top w:val="single" w:sz="18" w:space="0" w:color="auto"/>
              <w:left w:val="nil"/>
              <w:bottom w:val="single" w:sz="4" w:space="0" w:color="auto"/>
              <w:right w:val="single" w:sz="8" w:space="0" w:color="auto"/>
            </w:tcBorders>
            <w:shd w:val="clear" w:color="000000" w:fill="92D050"/>
            <w:vAlign w:val="bottom"/>
          </w:tcPr>
          <w:p w14:paraId="65C41EF0" w14:textId="519F19C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96.3%</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2FE3D11A" w14:textId="5FACEF4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107.2%</w:t>
            </w:r>
          </w:p>
        </w:tc>
        <w:tc>
          <w:tcPr>
            <w:tcW w:w="1667" w:type="dxa"/>
            <w:gridSpan w:val="2"/>
            <w:tcBorders>
              <w:top w:val="single" w:sz="18" w:space="0" w:color="auto"/>
              <w:left w:val="nil"/>
              <w:bottom w:val="single" w:sz="4" w:space="0" w:color="auto"/>
              <w:right w:val="single" w:sz="8" w:space="0" w:color="auto"/>
            </w:tcBorders>
            <w:shd w:val="clear" w:color="000000" w:fill="00B0F0"/>
            <w:vAlign w:val="bottom"/>
          </w:tcPr>
          <w:p w14:paraId="51D9AC35" w14:textId="0864B75D"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102.7%</w:t>
            </w:r>
          </w:p>
        </w:tc>
        <w:tc>
          <w:tcPr>
            <w:tcW w:w="941" w:type="dxa"/>
            <w:tcBorders>
              <w:top w:val="single" w:sz="18" w:space="0" w:color="auto"/>
              <w:left w:val="nil"/>
              <w:bottom w:val="single" w:sz="4" w:space="0" w:color="auto"/>
              <w:right w:val="single" w:sz="8" w:space="0" w:color="auto"/>
            </w:tcBorders>
            <w:shd w:val="clear" w:color="000000" w:fill="00B0F0"/>
            <w:vAlign w:val="bottom"/>
          </w:tcPr>
          <w:p w14:paraId="26B05E53" w14:textId="1ADB1738"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126.4%</w:t>
            </w:r>
          </w:p>
        </w:tc>
        <w:tc>
          <w:tcPr>
            <w:tcW w:w="1147" w:type="dxa"/>
            <w:gridSpan w:val="2"/>
            <w:tcBorders>
              <w:top w:val="single" w:sz="18" w:space="0" w:color="auto"/>
              <w:left w:val="nil"/>
              <w:bottom w:val="single" w:sz="4" w:space="0" w:color="auto"/>
              <w:right w:val="single" w:sz="8" w:space="0" w:color="auto"/>
            </w:tcBorders>
            <w:shd w:val="clear" w:color="000000" w:fill="92D050"/>
            <w:vAlign w:val="bottom"/>
          </w:tcPr>
          <w:p w14:paraId="571F4D4C" w14:textId="62168E2B"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99.2%</w:t>
            </w:r>
          </w:p>
        </w:tc>
        <w:tc>
          <w:tcPr>
            <w:tcW w:w="882" w:type="dxa"/>
            <w:tcBorders>
              <w:top w:val="single" w:sz="18" w:space="0" w:color="auto"/>
              <w:left w:val="nil"/>
              <w:bottom w:val="single" w:sz="4" w:space="0" w:color="auto"/>
              <w:right w:val="single" w:sz="8" w:space="0" w:color="auto"/>
            </w:tcBorders>
            <w:shd w:val="clear" w:color="000000" w:fill="00B0F0"/>
            <w:vAlign w:val="bottom"/>
          </w:tcPr>
          <w:p w14:paraId="66E550D2" w14:textId="1658E4C3"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115.9%</w:t>
            </w:r>
          </w:p>
        </w:tc>
        <w:tc>
          <w:tcPr>
            <w:tcW w:w="882" w:type="dxa"/>
            <w:gridSpan w:val="2"/>
            <w:tcBorders>
              <w:top w:val="single" w:sz="18" w:space="0" w:color="auto"/>
              <w:left w:val="nil"/>
              <w:bottom w:val="single" w:sz="4" w:space="0" w:color="auto"/>
              <w:right w:val="single" w:sz="8" w:space="0" w:color="auto"/>
            </w:tcBorders>
            <w:shd w:val="clear" w:color="000000" w:fill="00B0F0"/>
            <w:vAlign w:val="bottom"/>
          </w:tcPr>
          <w:p w14:paraId="065A7DEE" w14:textId="6B4CB7D9" w:rsidR="00423B45" w:rsidRPr="007B06B3" w:rsidRDefault="00423B45" w:rsidP="00423B45">
            <w:pPr>
              <w:spacing w:after="0"/>
              <w:jc w:val="center"/>
              <w:rPr>
                <w:rFonts w:ascii="Arial" w:hAnsi="Arial" w:cs="Arial"/>
                <w:b/>
                <w:bCs/>
                <w:sz w:val="18"/>
                <w:szCs w:val="18"/>
              </w:rPr>
            </w:pPr>
            <w:r w:rsidRPr="007B06B3">
              <w:rPr>
                <w:rFonts w:ascii="Arial" w:hAnsi="Arial" w:cs="Arial"/>
                <w:b/>
                <w:bCs/>
                <w:sz w:val="18"/>
                <w:szCs w:val="18"/>
              </w:rPr>
              <w:t>104.7%</w:t>
            </w:r>
          </w:p>
        </w:tc>
      </w:tr>
    </w:tbl>
    <w:bookmarkEnd w:id="10"/>
    <w:p w14:paraId="798D4114" w14:textId="6E9DD19F" w:rsidR="00F57E5D" w:rsidRPr="007B06B3" w:rsidRDefault="00750EC6" w:rsidP="003F4460">
      <w:pPr>
        <w:spacing w:before="240" w:after="0" w:line="240" w:lineRule="auto"/>
        <w:rPr>
          <w:rFonts w:ascii="Arial" w:eastAsia="Times New Roman" w:hAnsi="Arial" w:cs="Arial"/>
          <w:b/>
          <w:i/>
          <w:color w:val="005EB8"/>
          <w:sz w:val="18"/>
          <w:szCs w:val="18"/>
          <w:lang w:eastAsia="en-GB"/>
        </w:rPr>
      </w:pPr>
      <w:r w:rsidRPr="007B06B3">
        <w:rPr>
          <w:rFonts w:ascii="Arial" w:eastAsia="Times New Roman" w:hAnsi="Arial" w:cs="Arial"/>
          <w:b/>
          <w:color w:val="005EB8"/>
          <w:lang w:eastAsia="en-GB"/>
        </w:rPr>
        <w:t xml:space="preserve">Table </w:t>
      </w:r>
      <w:r w:rsidR="00F57E5D" w:rsidRPr="007B06B3">
        <w:rPr>
          <w:rFonts w:ascii="Arial" w:eastAsia="Times New Roman" w:hAnsi="Arial" w:cs="Arial"/>
          <w:b/>
          <w:color w:val="005EB8"/>
          <w:lang w:eastAsia="en-GB"/>
        </w:rPr>
        <w:t>1</w:t>
      </w:r>
      <w:r w:rsidRPr="007B06B3">
        <w:rPr>
          <w:rFonts w:ascii="Arial" w:eastAsia="Times New Roman" w:hAnsi="Arial" w:cs="Arial"/>
          <w:b/>
          <w:color w:val="005EB8"/>
          <w:lang w:eastAsia="en-GB"/>
        </w:rPr>
        <w:t>b</w:t>
      </w:r>
      <w:r w:rsidR="00F57E5D" w:rsidRPr="007B06B3">
        <w:rPr>
          <w:rFonts w:ascii="Arial" w:eastAsia="Times New Roman" w:hAnsi="Arial" w:cs="Arial"/>
          <w:b/>
          <w:color w:val="005EB8"/>
          <w:lang w:eastAsia="en-GB"/>
        </w:rPr>
        <w:t>: ED data</w:t>
      </w:r>
      <w:r w:rsidRPr="007B06B3">
        <w:rPr>
          <w:rFonts w:ascii="Arial" w:eastAsia="Times New Roman" w:hAnsi="Arial" w:cs="Arial"/>
          <w:b/>
          <w:color w:val="005EB8"/>
          <w:lang w:eastAsia="en-GB"/>
        </w:rPr>
        <w:t xml:space="preserve"> – </w:t>
      </w:r>
      <w:r w:rsidR="00F57E5D" w:rsidRPr="007B06B3">
        <w:rPr>
          <w:rFonts w:ascii="Arial" w:eastAsia="Times New Roman" w:hAnsi="Arial" w:cs="Arial"/>
          <w:b/>
          <w:color w:val="005EB8"/>
          <w:lang w:eastAsia="en-GB"/>
        </w:rPr>
        <w:t xml:space="preserve">fill rates </w:t>
      </w:r>
      <w:r w:rsidR="007122D6" w:rsidRPr="007B06B3">
        <w:rPr>
          <w:rFonts w:ascii="Arial" w:eastAsia="Times New Roman" w:hAnsi="Arial" w:cs="Arial"/>
          <w:b/>
          <w:bCs/>
          <w:color w:val="005EB8"/>
          <w:lang w:eastAsia="en-GB"/>
        </w:rPr>
        <w:t>Dec</w:t>
      </w:r>
      <w:r w:rsidR="0057060E" w:rsidRPr="007B06B3">
        <w:rPr>
          <w:rFonts w:ascii="Arial" w:eastAsia="Times New Roman" w:hAnsi="Arial" w:cs="Arial"/>
          <w:b/>
          <w:bCs/>
          <w:color w:val="005EB8"/>
          <w:lang w:eastAsia="en-GB"/>
        </w:rPr>
        <w:t>em</w:t>
      </w:r>
      <w:r w:rsidR="001E6EC4" w:rsidRPr="007B06B3">
        <w:rPr>
          <w:rFonts w:ascii="Arial" w:eastAsia="Times New Roman" w:hAnsi="Arial" w:cs="Arial"/>
          <w:b/>
          <w:color w:val="005EB8"/>
          <w:lang w:eastAsia="en-GB"/>
        </w:rPr>
        <w:t xml:space="preserve">ber </w:t>
      </w:r>
      <w:r w:rsidR="00F57E5D" w:rsidRPr="007B06B3">
        <w:rPr>
          <w:rFonts w:ascii="Arial" w:eastAsia="Times New Roman" w:hAnsi="Arial" w:cs="Arial"/>
          <w:b/>
          <w:color w:val="005EB8"/>
          <w:lang w:eastAsia="en-GB"/>
        </w:rPr>
        <w:t xml:space="preserve">2025 </w:t>
      </w:r>
      <w:r w:rsidR="00F57E5D" w:rsidRPr="007B06B3">
        <w:rPr>
          <w:rFonts w:ascii="Arial" w:eastAsia="Times New Roman" w:hAnsi="Arial" w:cs="Arial"/>
          <w:b/>
          <w:i/>
          <w:color w:val="005EB8"/>
          <w:sz w:val="18"/>
          <w:szCs w:val="18"/>
          <w:lang w:eastAsia="en-GB"/>
        </w:rPr>
        <w:t xml:space="preserve">(Standard Planned Demand) </w:t>
      </w:r>
    </w:p>
    <w:tbl>
      <w:tblPr>
        <w:tblStyle w:val="TableGrid"/>
        <w:tblW w:w="9493"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CE2A26" w:rsidRPr="007B06B3" w14:paraId="24FC8984" w14:textId="77777777" w:rsidTr="00320228">
        <w:tc>
          <w:tcPr>
            <w:tcW w:w="1555" w:type="dxa"/>
            <w:shd w:val="clear" w:color="auto" w:fill="DEEAF6" w:themeFill="accent5" w:themeFillTint="33"/>
            <w:vAlign w:val="center"/>
          </w:tcPr>
          <w:p w14:paraId="06884689" w14:textId="77777777" w:rsidR="00CE2A26" w:rsidRPr="007B06B3" w:rsidRDefault="00CE2A26" w:rsidP="003D6BC4">
            <w:pPr>
              <w:spacing w:after="0" w:line="240" w:lineRule="auto"/>
              <w:jc w:val="center"/>
              <w:rPr>
                <w:rFonts w:ascii="Arial" w:eastAsia="Times New Roman" w:hAnsi="Arial" w:cs="Arial"/>
                <w:b/>
                <w:sz w:val="18"/>
                <w:szCs w:val="18"/>
                <w:lang w:eastAsia="en-GB"/>
              </w:rPr>
            </w:pPr>
            <w:bookmarkStart w:id="11" w:name="_Hlk198623969"/>
            <w:r w:rsidRPr="007B06B3">
              <w:rPr>
                <w:rFonts w:ascii="Arial" w:eastAsia="Times New Roman" w:hAnsi="Arial" w:cs="Arial"/>
                <w:b/>
                <w:sz w:val="18"/>
                <w:szCs w:val="18"/>
                <w:lang w:eastAsia="en-GB"/>
              </w:rPr>
              <w:t>Average day fill rate - registered nurses/midwives</w:t>
            </w:r>
          </w:p>
        </w:tc>
        <w:tc>
          <w:tcPr>
            <w:tcW w:w="1157" w:type="dxa"/>
            <w:shd w:val="clear" w:color="auto" w:fill="DEEAF6" w:themeFill="accent5" w:themeFillTint="33"/>
            <w:vAlign w:val="center"/>
          </w:tcPr>
          <w:p w14:paraId="3506AE1E" w14:textId="77777777" w:rsidR="00CE2A26" w:rsidRPr="007B06B3" w:rsidRDefault="00CE2A26"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day fill rate - care staff</w:t>
            </w:r>
          </w:p>
        </w:tc>
        <w:tc>
          <w:tcPr>
            <w:tcW w:w="1536" w:type="dxa"/>
            <w:shd w:val="clear" w:color="auto" w:fill="9CC2E5" w:themeFill="accent5" w:themeFillTint="99"/>
            <w:vAlign w:val="center"/>
          </w:tcPr>
          <w:p w14:paraId="5C527F27" w14:textId="77777777" w:rsidR="00CE2A26" w:rsidRPr="007B06B3" w:rsidRDefault="00CE2A26"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night fill rate - registered nurses/midwives</w:t>
            </w:r>
          </w:p>
        </w:tc>
        <w:tc>
          <w:tcPr>
            <w:tcW w:w="1176" w:type="dxa"/>
            <w:shd w:val="clear" w:color="auto" w:fill="9CC2E5" w:themeFill="accent5" w:themeFillTint="99"/>
            <w:vAlign w:val="center"/>
          </w:tcPr>
          <w:p w14:paraId="63E4D53B" w14:textId="77777777" w:rsidR="00CE2A26" w:rsidRPr="007B06B3" w:rsidRDefault="00CE2A26"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night fill rate - care staff</w:t>
            </w:r>
          </w:p>
        </w:tc>
        <w:tc>
          <w:tcPr>
            <w:tcW w:w="1356" w:type="dxa"/>
            <w:shd w:val="clear" w:color="auto" w:fill="BDD6EE" w:themeFill="accent5" w:themeFillTint="66"/>
            <w:vAlign w:val="center"/>
          </w:tcPr>
          <w:p w14:paraId="5CD51F02" w14:textId="77777777" w:rsidR="00CE2A26" w:rsidRPr="007B06B3" w:rsidRDefault="00CE2A26" w:rsidP="003D6BC4">
            <w:pPr>
              <w:spacing w:after="0" w:line="240" w:lineRule="auto"/>
              <w:jc w:val="center"/>
              <w:rPr>
                <w:rFonts w:ascii="Arial" w:eastAsia="Times New Roman" w:hAnsi="Arial" w:cs="Arial"/>
                <w:b/>
                <w:bCs/>
                <w:sz w:val="18"/>
                <w:szCs w:val="18"/>
                <w:lang w:eastAsia="en-GB"/>
              </w:rPr>
            </w:pPr>
            <w:r w:rsidRPr="007B06B3">
              <w:rPr>
                <w:rFonts w:ascii="Arial" w:eastAsia="Times New Roman" w:hAnsi="Arial" w:cs="Arial"/>
                <w:b/>
                <w:bCs/>
                <w:sz w:val="18"/>
                <w:szCs w:val="18"/>
                <w:lang w:eastAsia="en-GB"/>
              </w:rPr>
              <w:t>% Registered overall fill rate</w:t>
            </w:r>
          </w:p>
        </w:tc>
        <w:tc>
          <w:tcPr>
            <w:tcW w:w="1356" w:type="dxa"/>
            <w:shd w:val="clear" w:color="auto" w:fill="BDD6EE" w:themeFill="accent5" w:themeFillTint="66"/>
            <w:vAlign w:val="center"/>
          </w:tcPr>
          <w:p w14:paraId="7713831D" w14:textId="77777777" w:rsidR="00CE2A26" w:rsidRPr="007B06B3" w:rsidRDefault="00CE2A26"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HCSW overall fill rate</w:t>
            </w:r>
          </w:p>
        </w:tc>
        <w:tc>
          <w:tcPr>
            <w:tcW w:w="1357" w:type="dxa"/>
            <w:shd w:val="clear" w:color="auto" w:fill="BDD6EE" w:themeFill="accent5" w:themeFillTint="66"/>
            <w:vAlign w:val="center"/>
          </w:tcPr>
          <w:p w14:paraId="4299E53F" w14:textId="77777777" w:rsidR="00CE2A26" w:rsidRPr="007B06B3" w:rsidRDefault="00CE2A26"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Overall fill rate</w:t>
            </w:r>
          </w:p>
        </w:tc>
      </w:tr>
      <w:tr w:rsidR="00BF6C79" w:rsidRPr="007B06B3" w14:paraId="223582FC" w14:textId="77777777" w:rsidTr="00320228">
        <w:trPr>
          <w:trHeight w:val="275"/>
        </w:trPr>
        <w:tc>
          <w:tcPr>
            <w:tcW w:w="1555" w:type="dxa"/>
            <w:tcBorders>
              <w:top w:val="single" w:sz="4" w:space="0" w:color="auto"/>
              <w:left w:val="single" w:sz="8" w:space="0" w:color="auto"/>
              <w:bottom w:val="single" w:sz="4" w:space="0" w:color="auto"/>
              <w:right w:val="single" w:sz="8" w:space="0" w:color="auto"/>
            </w:tcBorders>
            <w:shd w:val="clear" w:color="000000" w:fill="00B0F0"/>
          </w:tcPr>
          <w:p w14:paraId="07344873" w14:textId="5663A074"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108.3%</w:t>
            </w:r>
          </w:p>
        </w:tc>
        <w:tc>
          <w:tcPr>
            <w:tcW w:w="1157" w:type="dxa"/>
            <w:tcBorders>
              <w:top w:val="single" w:sz="4" w:space="0" w:color="auto"/>
              <w:left w:val="nil"/>
              <w:bottom w:val="single" w:sz="4" w:space="0" w:color="auto"/>
              <w:right w:val="single" w:sz="8" w:space="0" w:color="auto"/>
            </w:tcBorders>
            <w:shd w:val="clear" w:color="000000" w:fill="FFC000"/>
          </w:tcPr>
          <w:p w14:paraId="7BCC1FCB" w14:textId="341D3449"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98.6%</w:t>
            </w:r>
          </w:p>
        </w:tc>
        <w:tc>
          <w:tcPr>
            <w:tcW w:w="1536" w:type="dxa"/>
            <w:tcBorders>
              <w:top w:val="single" w:sz="4" w:space="0" w:color="auto"/>
              <w:left w:val="nil"/>
              <w:bottom w:val="single" w:sz="4" w:space="0" w:color="auto"/>
              <w:right w:val="single" w:sz="8" w:space="0" w:color="auto"/>
            </w:tcBorders>
            <w:shd w:val="clear" w:color="000000" w:fill="00B0F0"/>
          </w:tcPr>
          <w:p w14:paraId="60EC9B8A" w14:textId="41464E82"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119.0%</w:t>
            </w:r>
          </w:p>
        </w:tc>
        <w:tc>
          <w:tcPr>
            <w:tcW w:w="1176" w:type="dxa"/>
            <w:tcBorders>
              <w:top w:val="single" w:sz="4" w:space="0" w:color="auto"/>
              <w:left w:val="nil"/>
              <w:bottom w:val="single" w:sz="4" w:space="0" w:color="auto"/>
              <w:right w:val="single" w:sz="8" w:space="0" w:color="auto"/>
            </w:tcBorders>
            <w:shd w:val="clear" w:color="000000" w:fill="00B0F0"/>
          </w:tcPr>
          <w:p w14:paraId="7017F371" w14:textId="1B49C774"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116.6%</w:t>
            </w:r>
          </w:p>
        </w:tc>
        <w:tc>
          <w:tcPr>
            <w:tcW w:w="1356" w:type="dxa"/>
            <w:tcBorders>
              <w:top w:val="single" w:sz="4" w:space="0" w:color="auto"/>
              <w:left w:val="nil"/>
              <w:bottom w:val="single" w:sz="4" w:space="0" w:color="auto"/>
              <w:right w:val="single" w:sz="8" w:space="0" w:color="auto"/>
            </w:tcBorders>
            <w:shd w:val="clear" w:color="000000" w:fill="00B0F0"/>
          </w:tcPr>
          <w:p w14:paraId="61E32EFC" w14:textId="4E9D2A4E"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113.1%</w:t>
            </w:r>
          </w:p>
        </w:tc>
        <w:tc>
          <w:tcPr>
            <w:tcW w:w="1356" w:type="dxa"/>
            <w:tcBorders>
              <w:top w:val="single" w:sz="4" w:space="0" w:color="auto"/>
              <w:left w:val="nil"/>
              <w:bottom w:val="single" w:sz="4" w:space="0" w:color="auto"/>
              <w:right w:val="single" w:sz="8" w:space="0" w:color="auto"/>
            </w:tcBorders>
            <w:shd w:val="clear" w:color="000000" w:fill="00B0F0"/>
          </w:tcPr>
          <w:p w14:paraId="638E59FA" w14:textId="2FD32128"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106.6%</w:t>
            </w:r>
          </w:p>
        </w:tc>
        <w:tc>
          <w:tcPr>
            <w:tcW w:w="1357" w:type="dxa"/>
            <w:tcBorders>
              <w:top w:val="single" w:sz="4" w:space="0" w:color="auto"/>
              <w:left w:val="nil"/>
              <w:bottom w:val="single" w:sz="4" w:space="0" w:color="auto"/>
              <w:right w:val="single" w:sz="8" w:space="0" w:color="auto"/>
            </w:tcBorders>
            <w:shd w:val="clear" w:color="000000" w:fill="00B0F0"/>
          </w:tcPr>
          <w:p w14:paraId="671EC341" w14:textId="47F77141"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111.0%</w:t>
            </w:r>
          </w:p>
        </w:tc>
      </w:tr>
      <w:bookmarkEnd w:id="11"/>
    </w:tbl>
    <w:p w14:paraId="20FA65D7" w14:textId="77777777" w:rsidR="000016C1" w:rsidRPr="007B06B3" w:rsidRDefault="000016C1" w:rsidP="000016C1">
      <w:pPr>
        <w:spacing w:after="0" w:line="240" w:lineRule="auto"/>
        <w:rPr>
          <w:rFonts w:ascii="Arial" w:eastAsia="Times New Roman" w:hAnsi="Arial" w:cs="Arial"/>
          <w:lang w:eastAsia="en-GB"/>
        </w:rPr>
      </w:pPr>
    </w:p>
    <w:p w14:paraId="0E0D8A61" w14:textId="2836DEE1" w:rsidR="00E8143F" w:rsidRPr="007B06B3" w:rsidRDefault="00750EC6" w:rsidP="00E8143F">
      <w:pPr>
        <w:spacing w:after="0" w:line="240" w:lineRule="auto"/>
        <w:rPr>
          <w:rFonts w:ascii="Arial" w:eastAsia="Times New Roman" w:hAnsi="Arial" w:cs="Arial"/>
          <w:b/>
          <w:i/>
          <w:color w:val="005EB8"/>
          <w:sz w:val="18"/>
          <w:szCs w:val="18"/>
          <w:lang w:eastAsia="en-GB"/>
        </w:rPr>
      </w:pPr>
      <w:r w:rsidRPr="007B06B3">
        <w:rPr>
          <w:rFonts w:ascii="Arial" w:eastAsia="Times New Roman" w:hAnsi="Arial" w:cs="Arial"/>
          <w:b/>
          <w:color w:val="005EB8"/>
          <w:lang w:eastAsia="en-GB"/>
        </w:rPr>
        <w:t>Table 1c</w:t>
      </w:r>
      <w:r w:rsidR="00E8143F" w:rsidRPr="007B06B3">
        <w:rPr>
          <w:rFonts w:ascii="Arial" w:eastAsia="Times New Roman" w:hAnsi="Arial" w:cs="Arial"/>
          <w:b/>
          <w:color w:val="005EB8"/>
          <w:lang w:eastAsia="en-GB"/>
        </w:rPr>
        <w:t>: Paediatric ED data</w:t>
      </w:r>
      <w:r w:rsidRPr="007B06B3">
        <w:rPr>
          <w:rFonts w:ascii="Arial" w:eastAsia="Times New Roman" w:hAnsi="Arial" w:cs="Arial"/>
          <w:b/>
          <w:color w:val="005EB8"/>
          <w:lang w:eastAsia="en-GB"/>
        </w:rPr>
        <w:t xml:space="preserve"> – </w:t>
      </w:r>
      <w:r w:rsidR="00E8143F" w:rsidRPr="007B06B3">
        <w:rPr>
          <w:rFonts w:ascii="Arial" w:eastAsia="Times New Roman" w:hAnsi="Arial" w:cs="Arial"/>
          <w:b/>
          <w:color w:val="005EB8"/>
          <w:lang w:eastAsia="en-GB"/>
        </w:rPr>
        <w:t xml:space="preserve">fill rates </w:t>
      </w:r>
      <w:r w:rsidR="007122D6" w:rsidRPr="007B06B3">
        <w:rPr>
          <w:rFonts w:ascii="Arial" w:eastAsia="Times New Roman" w:hAnsi="Arial" w:cs="Arial"/>
          <w:b/>
          <w:bCs/>
          <w:color w:val="005EB8"/>
          <w:lang w:eastAsia="en-GB"/>
        </w:rPr>
        <w:t>Dec</w:t>
      </w:r>
      <w:r w:rsidR="0057060E" w:rsidRPr="007B06B3">
        <w:rPr>
          <w:rFonts w:ascii="Arial" w:eastAsia="Times New Roman" w:hAnsi="Arial" w:cs="Arial"/>
          <w:b/>
          <w:bCs/>
          <w:color w:val="005EB8"/>
          <w:lang w:eastAsia="en-GB"/>
        </w:rPr>
        <w:t>em</w:t>
      </w:r>
      <w:r w:rsidR="001E6EC4" w:rsidRPr="007B06B3">
        <w:rPr>
          <w:rFonts w:ascii="Arial" w:eastAsia="Times New Roman" w:hAnsi="Arial" w:cs="Arial"/>
          <w:b/>
          <w:color w:val="005EB8"/>
          <w:lang w:eastAsia="en-GB"/>
        </w:rPr>
        <w:t xml:space="preserve">ber </w:t>
      </w:r>
      <w:r w:rsidR="00E8143F" w:rsidRPr="007B06B3">
        <w:rPr>
          <w:rFonts w:ascii="Arial" w:eastAsia="Times New Roman" w:hAnsi="Arial" w:cs="Arial"/>
          <w:b/>
          <w:color w:val="005EB8"/>
          <w:lang w:eastAsia="en-GB"/>
        </w:rPr>
        <w:t xml:space="preserve">2025 </w:t>
      </w:r>
      <w:r w:rsidR="00E8143F" w:rsidRPr="007B06B3">
        <w:rPr>
          <w:rFonts w:ascii="Arial" w:eastAsia="Times New Roman" w:hAnsi="Arial" w:cs="Arial"/>
          <w:b/>
          <w:i/>
          <w:color w:val="005EB8"/>
          <w:sz w:val="18"/>
          <w:szCs w:val="18"/>
          <w:lang w:eastAsia="en-GB"/>
        </w:rPr>
        <w:t xml:space="preserve">(Standard Planned Demand) </w:t>
      </w:r>
    </w:p>
    <w:tbl>
      <w:tblPr>
        <w:tblStyle w:val="TableGrid"/>
        <w:tblW w:w="9493"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5"/>
        <w:gridCol w:w="1157"/>
        <w:gridCol w:w="1536"/>
        <w:gridCol w:w="1176"/>
        <w:gridCol w:w="1356"/>
        <w:gridCol w:w="1356"/>
        <w:gridCol w:w="1357"/>
      </w:tblGrid>
      <w:tr w:rsidR="00E8143F" w:rsidRPr="007B06B3" w14:paraId="7260E67B" w14:textId="77777777" w:rsidTr="00320228">
        <w:tc>
          <w:tcPr>
            <w:tcW w:w="1555" w:type="dxa"/>
            <w:shd w:val="clear" w:color="auto" w:fill="DEEAF6" w:themeFill="accent5" w:themeFillTint="33"/>
            <w:vAlign w:val="center"/>
          </w:tcPr>
          <w:p w14:paraId="38826CA7" w14:textId="77777777" w:rsidR="00E8143F" w:rsidRPr="007B06B3" w:rsidRDefault="00E8143F" w:rsidP="003D6BC4">
            <w:pPr>
              <w:spacing w:after="0" w:line="240" w:lineRule="auto"/>
              <w:jc w:val="center"/>
              <w:rPr>
                <w:rFonts w:ascii="Arial" w:eastAsia="Times New Roman" w:hAnsi="Arial" w:cs="Arial"/>
                <w:b/>
                <w:sz w:val="18"/>
                <w:szCs w:val="18"/>
                <w:lang w:eastAsia="en-GB"/>
              </w:rPr>
            </w:pPr>
            <w:bookmarkStart w:id="12" w:name="_Hlk198624115"/>
            <w:r w:rsidRPr="007B06B3">
              <w:rPr>
                <w:rFonts w:ascii="Arial" w:eastAsia="Times New Roman" w:hAnsi="Arial" w:cs="Arial"/>
                <w:b/>
                <w:sz w:val="18"/>
                <w:szCs w:val="18"/>
                <w:lang w:eastAsia="en-GB"/>
              </w:rPr>
              <w:t>Average day fill rate - registered nurses/midwives</w:t>
            </w:r>
          </w:p>
        </w:tc>
        <w:tc>
          <w:tcPr>
            <w:tcW w:w="1157" w:type="dxa"/>
            <w:shd w:val="clear" w:color="auto" w:fill="DEEAF6" w:themeFill="accent5" w:themeFillTint="33"/>
            <w:vAlign w:val="center"/>
          </w:tcPr>
          <w:p w14:paraId="7E8F0C18" w14:textId="77777777" w:rsidR="00E8143F" w:rsidRPr="007B06B3" w:rsidRDefault="00E8143F"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day fill rate - care staff</w:t>
            </w:r>
          </w:p>
        </w:tc>
        <w:tc>
          <w:tcPr>
            <w:tcW w:w="1536" w:type="dxa"/>
            <w:shd w:val="clear" w:color="auto" w:fill="9CC2E5" w:themeFill="accent5" w:themeFillTint="99"/>
            <w:vAlign w:val="center"/>
          </w:tcPr>
          <w:p w14:paraId="50CFF538" w14:textId="77777777" w:rsidR="00E8143F" w:rsidRPr="007B06B3" w:rsidRDefault="00E8143F"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night fill rate - registered nurses/midwives</w:t>
            </w:r>
          </w:p>
        </w:tc>
        <w:tc>
          <w:tcPr>
            <w:tcW w:w="1176" w:type="dxa"/>
            <w:shd w:val="clear" w:color="auto" w:fill="9CC2E5" w:themeFill="accent5" w:themeFillTint="99"/>
            <w:vAlign w:val="center"/>
          </w:tcPr>
          <w:p w14:paraId="54FF52F6" w14:textId="77777777" w:rsidR="00E8143F" w:rsidRPr="007B06B3" w:rsidRDefault="00E8143F"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Average night fill rate - care staff</w:t>
            </w:r>
          </w:p>
        </w:tc>
        <w:tc>
          <w:tcPr>
            <w:tcW w:w="1356" w:type="dxa"/>
            <w:shd w:val="clear" w:color="auto" w:fill="BDD6EE" w:themeFill="accent5" w:themeFillTint="66"/>
            <w:vAlign w:val="center"/>
          </w:tcPr>
          <w:p w14:paraId="621E9D9A" w14:textId="77777777" w:rsidR="00E8143F" w:rsidRPr="007B06B3" w:rsidRDefault="00E8143F" w:rsidP="003D6BC4">
            <w:pPr>
              <w:spacing w:after="0" w:line="240" w:lineRule="auto"/>
              <w:jc w:val="center"/>
              <w:rPr>
                <w:rFonts w:ascii="Arial" w:eastAsia="Times New Roman" w:hAnsi="Arial" w:cs="Arial"/>
                <w:b/>
                <w:bCs/>
                <w:sz w:val="18"/>
                <w:szCs w:val="18"/>
                <w:lang w:eastAsia="en-GB"/>
              </w:rPr>
            </w:pPr>
            <w:r w:rsidRPr="007B06B3">
              <w:rPr>
                <w:rFonts w:ascii="Arial" w:eastAsia="Times New Roman" w:hAnsi="Arial" w:cs="Arial"/>
                <w:b/>
                <w:bCs/>
                <w:sz w:val="18"/>
                <w:szCs w:val="18"/>
                <w:lang w:eastAsia="en-GB"/>
              </w:rPr>
              <w:t>% Registered overall fill rate</w:t>
            </w:r>
          </w:p>
        </w:tc>
        <w:tc>
          <w:tcPr>
            <w:tcW w:w="1356" w:type="dxa"/>
            <w:shd w:val="clear" w:color="auto" w:fill="BDD6EE" w:themeFill="accent5" w:themeFillTint="66"/>
            <w:vAlign w:val="center"/>
          </w:tcPr>
          <w:p w14:paraId="4B910EE9" w14:textId="77777777" w:rsidR="00E8143F" w:rsidRPr="007B06B3" w:rsidRDefault="00E8143F"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HCSW overall fill rate</w:t>
            </w:r>
          </w:p>
        </w:tc>
        <w:tc>
          <w:tcPr>
            <w:tcW w:w="1357" w:type="dxa"/>
            <w:shd w:val="clear" w:color="auto" w:fill="BDD6EE" w:themeFill="accent5" w:themeFillTint="66"/>
            <w:vAlign w:val="center"/>
          </w:tcPr>
          <w:p w14:paraId="16F5E50D" w14:textId="77777777" w:rsidR="00E8143F" w:rsidRPr="007B06B3" w:rsidRDefault="00E8143F" w:rsidP="003D6BC4">
            <w:pPr>
              <w:spacing w:after="0" w:line="240" w:lineRule="auto"/>
              <w:jc w:val="center"/>
              <w:rPr>
                <w:rFonts w:ascii="Arial" w:eastAsia="Times New Roman" w:hAnsi="Arial" w:cs="Arial"/>
                <w:b/>
                <w:sz w:val="18"/>
                <w:szCs w:val="18"/>
                <w:lang w:eastAsia="en-GB"/>
              </w:rPr>
            </w:pPr>
            <w:r w:rsidRPr="007B06B3">
              <w:rPr>
                <w:rFonts w:ascii="Arial" w:eastAsia="Times New Roman" w:hAnsi="Arial" w:cs="Arial"/>
                <w:b/>
                <w:sz w:val="18"/>
                <w:szCs w:val="18"/>
                <w:lang w:eastAsia="en-GB"/>
              </w:rPr>
              <w:t>% Overall fill rate</w:t>
            </w:r>
          </w:p>
        </w:tc>
      </w:tr>
      <w:tr w:rsidR="00BF6C79" w:rsidRPr="007B06B3" w14:paraId="7070C290" w14:textId="77777777" w:rsidTr="00320228">
        <w:trPr>
          <w:trHeight w:val="264"/>
        </w:trPr>
        <w:tc>
          <w:tcPr>
            <w:tcW w:w="1555" w:type="dxa"/>
            <w:tcBorders>
              <w:top w:val="single" w:sz="4" w:space="0" w:color="auto"/>
              <w:left w:val="single" w:sz="8" w:space="0" w:color="auto"/>
              <w:bottom w:val="single" w:sz="4" w:space="0" w:color="auto"/>
              <w:right w:val="single" w:sz="8" w:space="0" w:color="auto"/>
            </w:tcBorders>
            <w:shd w:val="clear" w:color="000000" w:fill="00B0F0"/>
          </w:tcPr>
          <w:p w14:paraId="0A76F6D2" w14:textId="16D21E13"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116.7%</w:t>
            </w:r>
          </w:p>
        </w:tc>
        <w:tc>
          <w:tcPr>
            <w:tcW w:w="1157" w:type="dxa"/>
            <w:tcBorders>
              <w:top w:val="single" w:sz="4" w:space="0" w:color="auto"/>
              <w:left w:val="nil"/>
              <w:bottom w:val="single" w:sz="4" w:space="0" w:color="auto"/>
              <w:right w:val="single" w:sz="8" w:space="0" w:color="auto"/>
            </w:tcBorders>
            <w:shd w:val="clear" w:color="000000" w:fill="FFC000"/>
          </w:tcPr>
          <w:p w14:paraId="10E78CC4" w14:textId="2EED3F47"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65.6%</w:t>
            </w:r>
          </w:p>
        </w:tc>
        <w:tc>
          <w:tcPr>
            <w:tcW w:w="1536" w:type="dxa"/>
            <w:tcBorders>
              <w:top w:val="single" w:sz="4" w:space="0" w:color="auto"/>
              <w:left w:val="nil"/>
              <w:bottom w:val="single" w:sz="4" w:space="0" w:color="auto"/>
              <w:right w:val="single" w:sz="8" w:space="0" w:color="auto"/>
            </w:tcBorders>
            <w:shd w:val="clear" w:color="000000" w:fill="00B0F0"/>
          </w:tcPr>
          <w:p w14:paraId="1E0FF0B4" w14:textId="6E756A7F"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131.1%</w:t>
            </w:r>
          </w:p>
        </w:tc>
        <w:tc>
          <w:tcPr>
            <w:tcW w:w="1176" w:type="dxa"/>
            <w:tcBorders>
              <w:top w:val="single" w:sz="4" w:space="0" w:color="auto"/>
              <w:left w:val="nil"/>
              <w:bottom w:val="single" w:sz="4" w:space="0" w:color="auto"/>
              <w:right w:val="single" w:sz="8" w:space="0" w:color="auto"/>
            </w:tcBorders>
            <w:shd w:val="clear" w:color="000000" w:fill="FFC000"/>
          </w:tcPr>
          <w:p w14:paraId="6491F764" w14:textId="35E922BB"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83.7%</w:t>
            </w:r>
          </w:p>
        </w:tc>
        <w:tc>
          <w:tcPr>
            <w:tcW w:w="1356" w:type="dxa"/>
            <w:tcBorders>
              <w:top w:val="single" w:sz="4" w:space="0" w:color="auto"/>
              <w:left w:val="nil"/>
              <w:bottom w:val="single" w:sz="4" w:space="0" w:color="auto"/>
              <w:right w:val="single" w:sz="8" w:space="0" w:color="auto"/>
            </w:tcBorders>
            <w:shd w:val="clear" w:color="000000" w:fill="00B0F0"/>
          </w:tcPr>
          <w:p w14:paraId="4ECC948A" w14:textId="58DBE2C4"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123.1%</w:t>
            </w:r>
          </w:p>
        </w:tc>
        <w:tc>
          <w:tcPr>
            <w:tcW w:w="1356" w:type="dxa"/>
            <w:tcBorders>
              <w:top w:val="single" w:sz="4" w:space="0" w:color="auto"/>
              <w:left w:val="nil"/>
              <w:bottom w:val="single" w:sz="4" w:space="0" w:color="auto"/>
              <w:right w:val="single" w:sz="8" w:space="0" w:color="auto"/>
            </w:tcBorders>
            <w:shd w:val="clear" w:color="000000" w:fill="FFC000"/>
          </w:tcPr>
          <w:p w14:paraId="196B4A7A" w14:textId="78BDE31E"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74.7%</w:t>
            </w:r>
          </w:p>
        </w:tc>
        <w:tc>
          <w:tcPr>
            <w:tcW w:w="1357" w:type="dxa"/>
            <w:tcBorders>
              <w:top w:val="single" w:sz="4" w:space="0" w:color="auto"/>
              <w:left w:val="nil"/>
              <w:bottom w:val="single" w:sz="4" w:space="0" w:color="auto"/>
              <w:right w:val="single" w:sz="8" w:space="0" w:color="auto"/>
            </w:tcBorders>
            <w:shd w:val="clear" w:color="000000" w:fill="00B0F0"/>
          </w:tcPr>
          <w:p w14:paraId="4414E3B7" w14:textId="64922E27" w:rsidR="00BF6C79" w:rsidRPr="007B06B3" w:rsidRDefault="00BF6C79" w:rsidP="00BF6C79">
            <w:pPr>
              <w:spacing w:after="0" w:line="240" w:lineRule="auto"/>
              <w:jc w:val="center"/>
              <w:rPr>
                <w:rFonts w:ascii="Arial" w:eastAsia="Times New Roman" w:hAnsi="Arial" w:cs="Arial"/>
                <w:b/>
                <w:bCs/>
                <w:sz w:val="18"/>
                <w:szCs w:val="18"/>
                <w:lang w:eastAsia="en-GB"/>
              </w:rPr>
            </w:pPr>
            <w:r w:rsidRPr="007B06B3">
              <w:rPr>
                <w:rFonts w:ascii="Arial" w:hAnsi="Arial" w:cs="Arial"/>
                <w:b/>
                <w:bCs/>
                <w:sz w:val="18"/>
                <w:szCs w:val="18"/>
              </w:rPr>
              <w:t>108.2%</w:t>
            </w:r>
          </w:p>
        </w:tc>
      </w:tr>
      <w:bookmarkEnd w:id="12"/>
    </w:tbl>
    <w:p w14:paraId="60431B8E" w14:textId="77777777" w:rsidR="00C508BD" w:rsidRPr="007B06B3" w:rsidRDefault="00C508BD" w:rsidP="00B76D21">
      <w:pPr>
        <w:spacing w:after="0" w:line="240" w:lineRule="auto"/>
        <w:rPr>
          <w:rFonts w:ascii="Arial" w:hAnsi="Arial" w:cs="Arial"/>
          <w:bCs/>
        </w:rPr>
      </w:pPr>
    </w:p>
    <w:p w14:paraId="4BBA8AE3" w14:textId="11231490" w:rsidR="00C508BD" w:rsidRPr="007B06B3" w:rsidRDefault="00750EC6" w:rsidP="00C508BD">
      <w:pPr>
        <w:spacing w:after="0" w:line="240" w:lineRule="auto"/>
        <w:rPr>
          <w:rFonts w:ascii="Arial" w:eastAsia="Times New Roman" w:hAnsi="Arial" w:cs="Arial"/>
          <w:b/>
          <w:iCs/>
          <w:color w:val="005EB8"/>
          <w:lang w:eastAsia="en-GB"/>
        </w:rPr>
      </w:pPr>
      <w:r w:rsidRPr="007B06B3">
        <w:rPr>
          <w:rFonts w:ascii="Arial" w:eastAsia="Times New Roman" w:hAnsi="Arial" w:cs="Arial"/>
          <w:b/>
          <w:iCs/>
          <w:color w:val="005EB8"/>
          <w:lang w:eastAsia="en-GB"/>
        </w:rPr>
        <w:t>Table 1d</w:t>
      </w:r>
      <w:r w:rsidR="00C508BD" w:rsidRPr="007B06B3">
        <w:rPr>
          <w:rFonts w:ascii="Arial" w:eastAsia="Times New Roman" w:hAnsi="Arial" w:cs="Arial"/>
          <w:b/>
          <w:iCs/>
          <w:color w:val="005EB8"/>
          <w:lang w:eastAsia="en-GB"/>
        </w:rPr>
        <w:t>: E</w:t>
      </w:r>
      <w:r w:rsidR="00456006" w:rsidRPr="007B06B3">
        <w:rPr>
          <w:rFonts w:ascii="Arial" w:eastAsia="Times New Roman" w:hAnsi="Arial" w:cs="Arial"/>
          <w:b/>
          <w:iCs/>
          <w:color w:val="005EB8"/>
          <w:lang w:eastAsia="en-GB"/>
        </w:rPr>
        <w:t>nhanced Car</w:t>
      </w:r>
      <w:r w:rsidRPr="007B06B3">
        <w:rPr>
          <w:rFonts w:ascii="Arial" w:eastAsia="Times New Roman" w:hAnsi="Arial" w:cs="Arial"/>
          <w:b/>
          <w:iCs/>
          <w:color w:val="005EB8"/>
          <w:lang w:eastAsia="en-GB"/>
        </w:rPr>
        <w:t xml:space="preserve">e Data Demand Vs. Fill Rates </w:t>
      </w:r>
      <w:r w:rsidR="00CE13D7" w:rsidRPr="007B06B3">
        <w:rPr>
          <w:rFonts w:ascii="Arial" w:eastAsia="Times New Roman" w:hAnsi="Arial" w:cs="Arial"/>
          <w:b/>
          <w:bCs/>
          <w:iCs/>
          <w:color w:val="005EB8"/>
          <w:lang w:eastAsia="en-GB"/>
        </w:rPr>
        <w:t>Dec</w:t>
      </w:r>
      <w:r w:rsidR="0057060E" w:rsidRPr="007B06B3">
        <w:rPr>
          <w:rFonts w:ascii="Arial" w:eastAsia="Times New Roman" w:hAnsi="Arial" w:cs="Arial"/>
          <w:b/>
          <w:bCs/>
          <w:iCs/>
          <w:color w:val="005EB8"/>
          <w:lang w:eastAsia="en-GB"/>
        </w:rPr>
        <w:t>em</w:t>
      </w:r>
      <w:r w:rsidR="00C508BD" w:rsidRPr="007B06B3">
        <w:rPr>
          <w:rFonts w:ascii="Arial" w:eastAsia="Times New Roman" w:hAnsi="Arial" w:cs="Arial"/>
          <w:b/>
          <w:iCs/>
          <w:color w:val="005EB8"/>
          <w:lang w:eastAsia="en-GB"/>
        </w:rPr>
        <w:t>ber 2025</w:t>
      </w:r>
    </w:p>
    <w:p w14:paraId="26E2E87E" w14:textId="7A61279D" w:rsidR="007154A4" w:rsidRPr="007B06B3" w:rsidRDefault="007154A4" w:rsidP="00C508BD">
      <w:pPr>
        <w:shd w:val="clear" w:color="auto" w:fill="FFFFFF"/>
        <w:spacing w:after="0" w:line="240" w:lineRule="auto"/>
        <w:rPr>
          <w:rFonts w:ascii="Arial" w:eastAsia="Times New Roman" w:hAnsi="Arial" w:cs="Arial"/>
          <w:color w:val="242424"/>
          <w:lang w:eastAsia="en-GB"/>
        </w:rPr>
      </w:pPr>
    </w:p>
    <w:p w14:paraId="398A18B8" w14:textId="2714A7F4" w:rsidR="00A67E61" w:rsidRPr="007B06B3" w:rsidRDefault="00C508BD" w:rsidP="00A67E61">
      <w:pPr>
        <w:shd w:val="clear" w:color="auto" w:fill="FFFFFF"/>
        <w:spacing w:after="0" w:line="240" w:lineRule="auto"/>
        <w:rPr>
          <w:rFonts w:ascii="Arial" w:eastAsia="Times New Roman" w:hAnsi="Arial" w:cs="Arial"/>
          <w:color w:val="242424"/>
          <w:lang w:eastAsia="en-GB"/>
        </w:rPr>
      </w:pPr>
      <w:r w:rsidRPr="007B06B3">
        <w:rPr>
          <w:rFonts w:ascii="Arial" w:eastAsia="Times New Roman" w:hAnsi="Arial" w:cs="Arial"/>
          <w:color w:val="242424"/>
          <w:lang w:eastAsia="en-GB"/>
        </w:rPr>
        <w:t> </w:t>
      </w:r>
      <w:r w:rsidR="00BD6328" w:rsidRPr="007B06B3">
        <w:rPr>
          <w:noProof/>
        </w:rPr>
        <w:drawing>
          <wp:inline distT="0" distB="0" distL="0" distR="0" wp14:anchorId="4BE765F9" wp14:editId="53D559FA">
            <wp:extent cx="3326765" cy="2394284"/>
            <wp:effectExtent l="0" t="0" r="6985" b="6350"/>
            <wp:docPr id="940656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8456" cy="2395501"/>
                    </a:xfrm>
                    <a:prstGeom prst="rect">
                      <a:avLst/>
                    </a:prstGeom>
                    <a:noFill/>
                    <a:ln>
                      <a:noFill/>
                    </a:ln>
                  </pic:spPr>
                </pic:pic>
              </a:graphicData>
            </a:graphic>
          </wp:inline>
        </w:drawing>
      </w:r>
    </w:p>
    <w:p w14:paraId="63908AED" w14:textId="77777777" w:rsidR="00633571" w:rsidRPr="007B06B3" w:rsidRDefault="00633571" w:rsidP="00A67E61">
      <w:pPr>
        <w:shd w:val="clear" w:color="auto" w:fill="FFFFFF"/>
        <w:spacing w:after="0" w:line="240" w:lineRule="auto"/>
        <w:rPr>
          <w:rFonts w:ascii="Arial" w:eastAsia="Times New Roman" w:hAnsi="Arial" w:cs="Arial"/>
          <w:color w:val="242424"/>
          <w:lang w:eastAsia="en-GB"/>
        </w:rPr>
      </w:pPr>
    </w:p>
    <w:p w14:paraId="55F5102A" w14:textId="63978D8F" w:rsidR="00750EC6" w:rsidRPr="007B06B3" w:rsidRDefault="009913FC" w:rsidP="00750EC6">
      <w:pPr>
        <w:spacing w:after="0" w:line="240" w:lineRule="auto"/>
        <w:rPr>
          <w:rFonts w:ascii="Arial" w:eastAsia="Times New Roman" w:hAnsi="Arial" w:cs="Arial"/>
          <w:b/>
          <w:color w:val="005EB8"/>
          <w:lang w:eastAsia="en-GB"/>
        </w:rPr>
      </w:pPr>
      <w:r w:rsidRPr="007B06B3">
        <w:rPr>
          <w:rFonts w:ascii="Arial" w:eastAsia="Times New Roman" w:hAnsi="Arial" w:cs="Arial"/>
          <w:b/>
          <w:color w:val="005EB8"/>
          <w:lang w:eastAsia="en-GB"/>
        </w:rPr>
        <w:t xml:space="preserve">Appendix </w:t>
      </w:r>
      <w:r w:rsidR="003057C3" w:rsidRPr="007B06B3">
        <w:rPr>
          <w:rFonts w:ascii="Arial" w:eastAsia="Times New Roman" w:hAnsi="Arial" w:cs="Arial"/>
          <w:b/>
          <w:color w:val="005EB8"/>
          <w:lang w:eastAsia="en-GB"/>
        </w:rPr>
        <w:t>2</w:t>
      </w:r>
      <w:r w:rsidR="00750EC6" w:rsidRPr="007B06B3">
        <w:rPr>
          <w:rFonts w:ascii="Arial" w:eastAsia="Times New Roman" w:hAnsi="Arial" w:cs="Arial"/>
          <w:b/>
          <w:color w:val="005EB8"/>
          <w:lang w:eastAsia="en-GB"/>
        </w:rPr>
        <w:t xml:space="preserve">: </w:t>
      </w:r>
      <w:r w:rsidR="00750EC6" w:rsidRPr="007B06B3">
        <w:rPr>
          <w:rFonts w:ascii="Arial" w:hAnsi="Arial" w:cs="Arial"/>
          <w:b/>
          <w:color w:val="005EB8"/>
        </w:rPr>
        <w:t>Redeployment</w:t>
      </w:r>
      <w:r w:rsidR="00466834" w:rsidRPr="007B06B3">
        <w:rPr>
          <w:rFonts w:ascii="Arial" w:hAnsi="Arial" w:cs="Arial"/>
          <w:b/>
          <w:color w:val="005EB8"/>
        </w:rPr>
        <w:t xml:space="preserve"> and trend data</w:t>
      </w:r>
    </w:p>
    <w:p w14:paraId="42DEF34D" w14:textId="764FC487"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t xml:space="preserve">Table </w:t>
      </w:r>
      <w:r w:rsidR="003278AE" w:rsidRPr="007B06B3">
        <w:rPr>
          <w:rFonts w:ascii="Arial" w:hAnsi="Arial" w:cs="Arial"/>
          <w:b/>
          <w:noProof/>
          <w:color w:val="005EB8"/>
        </w:rPr>
        <w:t>1</w:t>
      </w:r>
      <w:r w:rsidRPr="007B06B3">
        <w:rPr>
          <w:rFonts w:ascii="Arial" w:hAnsi="Arial" w:cs="Arial"/>
          <w:b/>
          <w:noProof/>
          <w:color w:val="005EB8"/>
        </w:rPr>
        <w:t xml:space="preserve">. Hours of substantive staff redeployed </w:t>
      </w:r>
      <w:r w:rsidRPr="007B06B3">
        <w:rPr>
          <w:rFonts w:ascii="Arial" w:hAnsi="Arial" w:cs="Arial"/>
          <w:b/>
          <w:bCs/>
          <w:noProof/>
          <w:color w:val="005EB8"/>
        </w:rPr>
        <w:t>Decem</w:t>
      </w:r>
      <w:r w:rsidRPr="007B06B3">
        <w:rPr>
          <w:rFonts w:ascii="Arial" w:hAnsi="Arial" w:cs="Arial"/>
          <w:b/>
          <w:noProof/>
          <w:color w:val="005EB8"/>
        </w:rPr>
        <w:t xml:space="preserve">ber 2025 </w:t>
      </w:r>
      <w:bookmarkStart w:id="13" w:name="_Hlk187911104"/>
    </w:p>
    <w:bookmarkEnd w:id="13"/>
    <w:p w14:paraId="7E28B67F" w14:textId="77777777"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drawing>
          <wp:inline distT="0" distB="0" distL="0" distR="0" wp14:anchorId="7C275575" wp14:editId="0C06575A">
            <wp:extent cx="5321935" cy="3080558"/>
            <wp:effectExtent l="0" t="0" r="0" b="5715"/>
            <wp:docPr id="2385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0675" cy="3091406"/>
                    </a:xfrm>
                    <a:prstGeom prst="rect">
                      <a:avLst/>
                    </a:prstGeom>
                    <a:noFill/>
                  </pic:spPr>
                </pic:pic>
              </a:graphicData>
            </a:graphic>
          </wp:inline>
        </w:drawing>
      </w:r>
    </w:p>
    <w:p w14:paraId="7AEE2B0E" w14:textId="77777777" w:rsidR="00750EC6" w:rsidRPr="007B06B3" w:rsidRDefault="00750EC6" w:rsidP="00750EC6">
      <w:pPr>
        <w:spacing w:after="0"/>
        <w:rPr>
          <w:rFonts w:ascii="Arial" w:hAnsi="Arial" w:cs="Arial"/>
          <w:b/>
          <w:noProof/>
          <w:color w:val="005EB8"/>
        </w:rPr>
      </w:pPr>
    </w:p>
    <w:p w14:paraId="1DF6C148" w14:textId="598722DC"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t xml:space="preserve">Table </w:t>
      </w:r>
      <w:r w:rsidR="003278AE" w:rsidRPr="007B06B3">
        <w:rPr>
          <w:rFonts w:ascii="Arial" w:hAnsi="Arial" w:cs="Arial"/>
          <w:b/>
          <w:noProof/>
          <w:color w:val="005EB8"/>
        </w:rPr>
        <w:t>2</w:t>
      </w:r>
      <w:r w:rsidRPr="007B06B3">
        <w:rPr>
          <w:rFonts w:ascii="Arial" w:hAnsi="Arial" w:cs="Arial"/>
          <w:b/>
          <w:noProof/>
          <w:color w:val="005EB8"/>
        </w:rPr>
        <w:t>. Substantive staff redeployment ocasions trend Jan-25 – Dec-25</w:t>
      </w:r>
    </w:p>
    <w:p w14:paraId="1E61B11D" w14:textId="77777777"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drawing>
          <wp:inline distT="0" distB="0" distL="0" distR="0" wp14:anchorId="6A51D642" wp14:editId="60959584">
            <wp:extent cx="5342255" cy="1254897"/>
            <wp:effectExtent l="0" t="0" r="0" b="2540"/>
            <wp:docPr id="1659174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82745" cy="1264408"/>
                    </a:xfrm>
                    <a:prstGeom prst="rect">
                      <a:avLst/>
                    </a:prstGeom>
                    <a:noFill/>
                  </pic:spPr>
                </pic:pic>
              </a:graphicData>
            </a:graphic>
          </wp:inline>
        </w:drawing>
      </w:r>
    </w:p>
    <w:p w14:paraId="24D463BA" w14:textId="77777777" w:rsidR="00750EC6" w:rsidRPr="007B06B3" w:rsidRDefault="00750EC6" w:rsidP="00750EC6">
      <w:pPr>
        <w:spacing w:after="0"/>
        <w:rPr>
          <w:rFonts w:ascii="Arial" w:hAnsi="Arial" w:cs="Arial"/>
          <w:b/>
          <w:noProof/>
          <w:color w:val="005EB8"/>
        </w:rPr>
      </w:pPr>
    </w:p>
    <w:p w14:paraId="798FC1E9" w14:textId="77777777" w:rsidR="007006E6" w:rsidRDefault="007006E6" w:rsidP="00750EC6">
      <w:pPr>
        <w:spacing w:after="0"/>
        <w:rPr>
          <w:rFonts w:ascii="Arial" w:hAnsi="Arial" w:cs="Arial"/>
          <w:b/>
          <w:noProof/>
          <w:color w:val="005EB8"/>
        </w:rPr>
      </w:pPr>
    </w:p>
    <w:p w14:paraId="2BB555AF" w14:textId="77777777" w:rsidR="007006E6" w:rsidRDefault="007006E6" w:rsidP="00750EC6">
      <w:pPr>
        <w:spacing w:after="0"/>
        <w:rPr>
          <w:rFonts w:ascii="Arial" w:hAnsi="Arial" w:cs="Arial"/>
          <w:b/>
          <w:noProof/>
          <w:color w:val="005EB8"/>
        </w:rPr>
      </w:pPr>
    </w:p>
    <w:p w14:paraId="6DE877A9" w14:textId="77777777" w:rsidR="007006E6" w:rsidRDefault="007006E6" w:rsidP="00750EC6">
      <w:pPr>
        <w:spacing w:after="0"/>
        <w:rPr>
          <w:rFonts w:ascii="Arial" w:hAnsi="Arial" w:cs="Arial"/>
          <w:b/>
          <w:noProof/>
          <w:color w:val="005EB8"/>
        </w:rPr>
      </w:pPr>
    </w:p>
    <w:p w14:paraId="0302A746" w14:textId="687BBC02"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lastRenderedPageBreak/>
        <w:t xml:space="preserve">Table </w:t>
      </w:r>
      <w:r w:rsidR="003278AE" w:rsidRPr="007B06B3">
        <w:rPr>
          <w:rFonts w:ascii="Arial" w:hAnsi="Arial" w:cs="Arial"/>
          <w:b/>
          <w:noProof/>
          <w:color w:val="005EB8"/>
        </w:rPr>
        <w:t>3</w:t>
      </w:r>
      <w:r w:rsidRPr="007B06B3">
        <w:rPr>
          <w:rFonts w:ascii="Arial" w:hAnsi="Arial" w:cs="Arial"/>
          <w:b/>
          <w:noProof/>
          <w:color w:val="005EB8"/>
        </w:rPr>
        <w:t xml:space="preserve">. % of substantive staff redeployed as % of total hours worked </w:t>
      </w:r>
    </w:p>
    <w:p w14:paraId="17D7CD99" w14:textId="77777777" w:rsidR="00750EC6" w:rsidRPr="007B06B3" w:rsidRDefault="00750EC6" w:rsidP="00750EC6">
      <w:pPr>
        <w:spacing w:after="0"/>
        <w:rPr>
          <w:rFonts w:ascii="Arial" w:hAnsi="Arial" w:cs="Arial"/>
          <w:b/>
          <w:noProof/>
          <w:color w:val="005EB8"/>
        </w:rPr>
      </w:pPr>
    </w:p>
    <w:tbl>
      <w:tblPr>
        <w:tblStyle w:val="TableGrid"/>
        <w:tblW w:w="0" w:type="auto"/>
        <w:tblLook w:val="04A0" w:firstRow="1" w:lastRow="0" w:firstColumn="1" w:lastColumn="0" w:noHBand="0" w:noVBand="1"/>
      </w:tblPr>
      <w:tblGrid>
        <w:gridCol w:w="3155"/>
        <w:gridCol w:w="3155"/>
        <w:gridCol w:w="3155"/>
      </w:tblGrid>
      <w:tr w:rsidR="00750EC6" w:rsidRPr="007B06B3" w14:paraId="6E797C0F" w14:textId="77777777" w:rsidTr="00191F63">
        <w:tc>
          <w:tcPr>
            <w:tcW w:w="3155" w:type="dxa"/>
            <w:shd w:val="clear" w:color="auto" w:fill="B4C6E7" w:themeFill="accent1" w:themeFillTint="66"/>
          </w:tcPr>
          <w:p w14:paraId="4CF71DA8" w14:textId="77777777" w:rsidR="00750EC6" w:rsidRPr="007B06B3" w:rsidRDefault="00750EC6" w:rsidP="00191F63">
            <w:pPr>
              <w:spacing w:after="0"/>
              <w:jc w:val="center"/>
              <w:rPr>
                <w:rFonts w:ascii="Arial" w:hAnsi="Arial" w:cs="Arial"/>
              </w:rPr>
            </w:pPr>
            <w:r w:rsidRPr="007B06B3">
              <w:rPr>
                <w:rFonts w:ascii="Arial" w:hAnsi="Arial" w:cs="Arial"/>
              </w:rPr>
              <w:t>Substantive staff hours redeployed</w:t>
            </w:r>
          </w:p>
        </w:tc>
        <w:tc>
          <w:tcPr>
            <w:tcW w:w="3155" w:type="dxa"/>
            <w:shd w:val="clear" w:color="auto" w:fill="B4C6E7" w:themeFill="accent1" w:themeFillTint="66"/>
          </w:tcPr>
          <w:p w14:paraId="3F3993EB" w14:textId="77777777" w:rsidR="00750EC6" w:rsidRPr="007B06B3" w:rsidRDefault="00750EC6" w:rsidP="00191F63">
            <w:pPr>
              <w:spacing w:after="0"/>
              <w:jc w:val="center"/>
              <w:rPr>
                <w:rFonts w:ascii="Arial" w:hAnsi="Arial" w:cs="Arial"/>
              </w:rPr>
            </w:pPr>
            <w:r w:rsidRPr="007B06B3">
              <w:rPr>
                <w:rFonts w:ascii="Arial" w:hAnsi="Arial" w:cs="Arial"/>
              </w:rPr>
              <w:t>Total hours worked (inc. bank and agency)</w:t>
            </w:r>
          </w:p>
        </w:tc>
        <w:tc>
          <w:tcPr>
            <w:tcW w:w="3155" w:type="dxa"/>
            <w:shd w:val="clear" w:color="auto" w:fill="B4C6E7" w:themeFill="accent1" w:themeFillTint="66"/>
          </w:tcPr>
          <w:p w14:paraId="1EEC68B4" w14:textId="77777777" w:rsidR="00750EC6" w:rsidRPr="007B06B3" w:rsidRDefault="00750EC6" w:rsidP="00191F63">
            <w:pPr>
              <w:spacing w:after="0"/>
              <w:jc w:val="center"/>
              <w:rPr>
                <w:rFonts w:ascii="Arial" w:hAnsi="Arial" w:cs="Arial"/>
              </w:rPr>
            </w:pPr>
            <w:r w:rsidRPr="007B06B3">
              <w:rPr>
                <w:rFonts w:ascii="Arial" w:hAnsi="Arial" w:cs="Arial"/>
              </w:rPr>
              <w:t>% of total hours worked / substantive staff redeployed</w:t>
            </w:r>
          </w:p>
        </w:tc>
      </w:tr>
      <w:tr w:rsidR="00750EC6" w:rsidRPr="007B06B3" w14:paraId="631FA125" w14:textId="77777777" w:rsidTr="00191F63">
        <w:trPr>
          <w:trHeight w:val="421"/>
        </w:trPr>
        <w:tc>
          <w:tcPr>
            <w:tcW w:w="3155" w:type="dxa"/>
            <w:vAlign w:val="center"/>
          </w:tcPr>
          <w:p w14:paraId="45992DE8"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1672.42</w:t>
            </w:r>
          </w:p>
        </w:tc>
        <w:tc>
          <w:tcPr>
            <w:tcW w:w="3155" w:type="dxa"/>
            <w:vAlign w:val="center"/>
          </w:tcPr>
          <w:p w14:paraId="2082EAD6"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143971</w:t>
            </w:r>
          </w:p>
        </w:tc>
        <w:tc>
          <w:tcPr>
            <w:tcW w:w="3155" w:type="dxa"/>
            <w:vAlign w:val="center"/>
          </w:tcPr>
          <w:p w14:paraId="5977C724"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1.16%</w:t>
            </w:r>
          </w:p>
        </w:tc>
      </w:tr>
    </w:tbl>
    <w:p w14:paraId="4F75E5F4" w14:textId="77777777" w:rsidR="00750EC6" w:rsidRPr="007B06B3" w:rsidRDefault="00750EC6" w:rsidP="00750EC6">
      <w:pPr>
        <w:spacing w:after="0"/>
        <w:rPr>
          <w:rFonts w:ascii="Arial" w:hAnsi="Arial" w:cs="Arial"/>
          <w:b/>
          <w:noProof/>
          <w:color w:val="005EB8"/>
        </w:rPr>
      </w:pPr>
    </w:p>
    <w:p w14:paraId="79038F7D" w14:textId="2AB7E99E" w:rsidR="00750EC6" w:rsidRPr="007B06B3" w:rsidRDefault="00750EC6" w:rsidP="00750EC6">
      <w:pPr>
        <w:spacing w:after="0"/>
        <w:rPr>
          <w:rFonts w:ascii="Arial" w:hAnsi="Arial" w:cs="Arial"/>
          <w:b/>
          <w:noProof/>
          <w:color w:val="005EB8"/>
        </w:rPr>
      </w:pPr>
      <w:r w:rsidRPr="007B06B3">
        <w:rPr>
          <w:rFonts w:ascii="Arial" w:hAnsi="Arial" w:cs="Arial"/>
          <w:b/>
          <w:noProof/>
          <w:color w:val="005EB8"/>
        </w:rPr>
        <w:t xml:space="preserve">Table </w:t>
      </w:r>
      <w:r w:rsidR="003278AE" w:rsidRPr="007B06B3">
        <w:rPr>
          <w:rFonts w:ascii="Arial" w:hAnsi="Arial" w:cs="Arial"/>
          <w:b/>
          <w:noProof/>
          <w:color w:val="005EB8"/>
        </w:rPr>
        <w:t>4</w:t>
      </w:r>
      <w:r w:rsidRPr="007B06B3">
        <w:rPr>
          <w:rFonts w:ascii="Arial" w:hAnsi="Arial" w:cs="Arial"/>
          <w:b/>
          <w:noProof/>
          <w:color w:val="005EB8"/>
        </w:rPr>
        <w:t xml:space="preserve">. % of staff redeployed as % of total hours worked </w:t>
      </w:r>
    </w:p>
    <w:p w14:paraId="18A4A40D" w14:textId="77777777" w:rsidR="00750EC6" w:rsidRPr="007B06B3" w:rsidRDefault="00750EC6" w:rsidP="00750EC6">
      <w:pPr>
        <w:spacing w:after="0"/>
        <w:rPr>
          <w:rFonts w:ascii="Arial" w:hAnsi="Arial" w:cs="Arial"/>
          <w:b/>
          <w:noProof/>
          <w:color w:val="005EB8"/>
        </w:rPr>
      </w:pPr>
    </w:p>
    <w:tbl>
      <w:tblPr>
        <w:tblStyle w:val="TableGrid"/>
        <w:tblW w:w="9493" w:type="dxa"/>
        <w:tblLook w:val="04A0" w:firstRow="1" w:lastRow="0" w:firstColumn="1" w:lastColumn="0" w:noHBand="0" w:noVBand="1"/>
      </w:tblPr>
      <w:tblGrid>
        <w:gridCol w:w="3164"/>
        <w:gridCol w:w="3164"/>
        <w:gridCol w:w="3165"/>
      </w:tblGrid>
      <w:tr w:rsidR="00750EC6" w:rsidRPr="007B06B3" w14:paraId="3B2FC8FE" w14:textId="77777777" w:rsidTr="00191F63">
        <w:trPr>
          <w:trHeight w:val="1016"/>
        </w:trPr>
        <w:tc>
          <w:tcPr>
            <w:tcW w:w="3164" w:type="dxa"/>
            <w:shd w:val="clear" w:color="auto" w:fill="B4C6E7" w:themeFill="accent1" w:themeFillTint="66"/>
            <w:vAlign w:val="center"/>
          </w:tcPr>
          <w:p w14:paraId="7F364117" w14:textId="77777777" w:rsidR="00750EC6" w:rsidRPr="007B06B3" w:rsidRDefault="00750EC6" w:rsidP="00191F63">
            <w:pPr>
              <w:spacing w:after="0"/>
              <w:jc w:val="center"/>
              <w:rPr>
                <w:rFonts w:ascii="Arial" w:hAnsi="Arial" w:cs="Arial"/>
                <w:sz w:val="16"/>
                <w:szCs w:val="16"/>
              </w:rPr>
            </w:pPr>
            <w:r w:rsidRPr="007B06B3">
              <w:rPr>
                <w:rFonts w:ascii="Arial" w:hAnsi="Arial" w:cs="Arial"/>
                <w:sz w:val="16"/>
                <w:szCs w:val="16"/>
              </w:rPr>
              <w:t>All staff hours redeployed (including bank and agency but excluding Enhanced Care Team, Bank Pool and Rapid Response Pool)</w:t>
            </w:r>
          </w:p>
        </w:tc>
        <w:tc>
          <w:tcPr>
            <w:tcW w:w="3164" w:type="dxa"/>
            <w:shd w:val="clear" w:color="auto" w:fill="B4C6E7" w:themeFill="accent1" w:themeFillTint="66"/>
            <w:vAlign w:val="center"/>
          </w:tcPr>
          <w:p w14:paraId="5F6BFC4D" w14:textId="77777777" w:rsidR="00750EC6" w:rsidRPr="007B06B3" w:rsidRDefault="00750EC6" w:rsidP="00191F63">
            <w:pPr>
              <w:spacing w:after="0"/>
              <w:jc w:val="center"/>
              <w:rPr>
                <w:rFonts w:ascii="Arial" w:hAnsi="Arial" w:cs="Arial"/>
              </w:rPr>
            </w:pPr>
            <w:r w:rsidRPr="007B06B3">
              <w:rPr>
                <w:rFonts w:ascii="Arial" w:hAnsi="Arial" w:cs="Arial"/>
              </w:rPr>
              <w:t>Total hours worked (inc. bank and agency)</w:t>
            </w:r>
          </w:p>
        </w:tc>
        <w:tc>
          <w:tcPr>
            <w:tcW w:w="3165" w:type="dxa"/>
            <w:shd w:val="clear" w:color="auto" w:fill="B4C6E7" w:themeFill="accent1" w:themeFillTint="66"/>
            <w:vAlign w:val="center"/>
          </w:tcPr>
          <w:p w14:paraId="4CBAF402" w14:textId="77777777" w:rsidR="00750EC6" w:rsidRPr="007B06B3" w:rsidRDefault="00750EC6" w:rsidP="00191F63">
            <w:pPr>
              <w:spacing w:after="0"/>
              <w:jc w:val="center"/>
              <w:rPr>
                <w:rFonts w:ascii="Arial" w:hAnsi="Arial" w:cs="Arial"/>
                <w:sz w:val="16"/>
                <w:szCs w:val="16"/>
              </w:rPr>
            </w:pPr>
            <w:r w:rsidRPr="007B06B3">
              <w:rPr>
                <w:rFonts w:ascii="Arial" w:hAnsi="Arial" w:cs="Arial"/>
                <w:sz w:val="16"/>
                <w:szCs w:val="16"/>
              </w:rPr>
              <w:t>% of total hours worked / staff redeployed (including bank and agency but excluding Enhanced Care Team, Bank Pool and Rapid Response Pool)</w:t>
            </w:r>
          </w:p>
        </w:tc>
      </w:tr>
      <w:tr w:rsidR="00750EC6" w:rsidRPr="007B06B3" w14:paraId="54475B54" w14:textId="77777777" w:rsidTr="00191F63">
        <w:trPr>
          <w:trHeight w:val="363"/>
        </w:trPr>
        <w:tc>
          <w:tcPr>
            <w:tcW w:w="3164" w:type="dxa"/>
            <w:vAlign w:val="center"/>
          </w:tcPr>
          <w:p w14:paraId="333E9111"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3166.67</w:t>
            </w:r>
          </w:p>
        </w:tc>
        <w:tc>
          <w:tcPr>
            <w:tcW w:w="3164" w:type="dxa"/>
            <w:vAlign w:val="center"/>
          </w:tcPr>
          <w:p w14:paraId="024FF606"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143971</w:t>
            </w:r>
          </w:p>
        </w:tc>
        <w:tc>
          <w:tcPr>
            <w:tcW w:w="3165" w:type="dxa"/>
            <w:vAlign w:val="center"/>
          </w:tcPr>
          <w:p w14:paraId="509DE42C" w14:textId="77777777" w:rsidR="00750EC6" w:rsidRPr="007B06B3" w:rsidRDefault="00750EC6" w:rsidP="00191F63">
            <w:pPr>
              <w:spacing w:after="0"/>
              <w:jc w:val="center"/>
              <w:rPr>
                <w:rFonts w:ascii="Arial" w:hAnsi="Arial" w:cs="Arial"/>
                <w:sz w:val="20"/>
                <w:szCs w:val="20"/>
              </w:rPr>
            </w:pPr>
            <w:r w:rsidRPr="007B06B3">
              <w:rPr>
                <w:rFonts w:ascii="Arial" w:hAnsi="Arial" w:cs="Arial"/>
                <w:sz w:val="20"/>
                <w:szCs w:val="20"/>
              </w:rPr>
              <w:t>2.2%</w:t>
            </w:r>
          </w:p>
        </w:tc>
      </w:tr>
    </w:tbl>
    <w:p w14:paraId="50879336" w14:textId="77777777" w:rsidR="00750EC6" w:rsidRPr="007B06B3" w:rsidRDefault="00750EC6" w:rsidP="00750EC6">
      <w:pPr>
        <w:spacing w:after="0"/>
        <w:rPr>
          <w:rFonts w:ascii="Arial" w:hAnsi="Arial" w:cs="Arial"/>
          <w:b/>
          <w:noProof/>
          <w:color w:val="005EB8"/>
        </w:rPr>
      </w:pPr>
    </w:p>
    <w:p w14:paraId="7EABABCA" w14:textId="0813CCC1" w:rsidR="00750EC6" w:rsidRDefault="00750EC6" w:rsidP="009E48BB">
      <w:pPr>
        <w:spacing w:after="0" w:line="240" w:lineRule="auto"/>
        <w:rPr>
          <w:rFonts w:ascii="Arial" w:eastAsia="Times New Roman" w:hAnsi="Arial" w:cs="Arial"/>
          <w:b/>
          <w:color w:val="005EB8"/>
          <w:lang w:eastAsia="en-GB"/>
        </w:rPr>
      </w:pPr>
      <w:r w:rsidRPr="007B06B3">
        <w:rPr>
          <w:rFonts w:ascii="Arial" w:eastAsia="Times New Roman" w:hAnsi="Arial" w:cs="Arial"/>
          <w:b/>
          <w:color w:val="005EB8"/>
          <w:lang w:eastAsia="en-GB"/>
        </w:rPr>
        <w:t>Appendix 3: CHPPD</w:t>
      </w:r>
    </w:p>
    <w:p w14:paraId="07A6E0DD" w14:textId="77777777" w:rsidR="00320228" w:rsidRPr="007B06B3" w:rsidRDefault="00320228" w:rsidP="009E48BB">
      <w:pPr>
        <w:spacing w:after="0" w:line="240" w:lineRule="auto"/>
        <w:rPr>
          <w:rFonts w:ascii="Arial" w:eastAsia="Times New Roman" w:hAnsi="Arial" w:cs="Arial"/>
          <w:b/>
          <w:color w:val="005EB8"/>
          <w:lang w:eastAsia="en-GB"/>
        </w:rPr>
      </w:pPr>
    </w:p>
    <w:p w14:paraId="5B8DB09A" w14:textId="2A681F77" w:rsidR="009913FC" w:rsidRPr="007B06B3" w:rsidRDefault="009913FC" w:rsidP="009E48BB">
      <w:pPr>
        <w:spacing w:after="0" w:line="240" w:lineRule="auto"/>
        <w:rPr>
          <w:rFonts w:ascii="Arial" w:eastAsia="Times New Roman" w:hAnsi="Arial" w:cs="Arial"/>
          <w:b/>
          <w:color w:val="005EB8"/>
          <w:lang w:eastAsia="en-GB"/>
        </w:rPr>
      </w:pPr>
      <w:r w:rsidRPr="007B06B3">
        <w:rPr>
          <w:rFonts w:ascii="Arial" w:eastAsia="Times New Roman" w:hAnsi="Arial" w:cs="Arial"/>
          <w:b/>
          <w:color w:val="005EB8"/>
          <w:lang w:eastAsia="en-GB"/>
        </w:rPr>
        <w:t xml:space="preserve">Ward level data: CHPPD </w:t>
      </w:r>
      <w:r w:rsidR="00CE13D7" w:rsidRPr="007B06B3">
        <w:rPr>
          <w:rFonts w:ascii="Arial" w:eastAsia="Times New Roman" w:hAnsi="Arial" w:cs="Arial"/>
          <w:b/>
          <w:bCs/>
          <w:color w:val="005EB8"/>
          <w:lang w:eastAsia="en-GB"/>
        </w:rPr>
        <w:t>Dec</w:t>
      </w:r>
      <w:r w:rsidR="0057060E" w:rsidRPr="007B06B3">
        <w:rPr>
          <w:rFonts w:ascii="Arial" w:eastAsia="Times New Roman" w:hAnsi="Arial" w:cs="Arial"/>
          <w:b/>
          <w:bCs/>
          <w:color w:val="005EB8"/>
          <w:lang w:eastAsia="en-GB"/>
        </w:rPr>
        <w:t>em</w:t>
      </w:r>
      <w:r w:rsidR="004032B8" w:rsidRPr="007B06B3">
        <w:rPr>
          <w:rFonts w:ascii="Arial" w:eastAsia="Times New Roman" w:hAnsi="Arial" w:cs="Arial"/>
          <w:b/>
          <w:color w:val="005EB8"/>
          <w:lang w:eastAsia="en-GB"/>
        </w:rPr>
        <w:t>ber</w:t>
      </w:r>
      <w:r w:rsidR="00977A20" w:rsidRPr="007B06B3">
        <w:rPr>
          <w:rFonts w:ascii="Arial" w:eastAsia="Times New Roman" w:hAnsi="Arial" w:cs="Arial"/>
          <w:b/>
          <w:color w:val="005EB8"/>
          <w:lang w:eastAsia="en-GB"/>
        </w:rPr>
        <w:t xml:space="preserve"> 2025</w:t>
      </w:r>
    </w:p>
    <w:p w14:paraId="65BCEC65" w14:textId="77777777" w:rsidR="009913FC" w:rsidRPr="007B06B3" w:rsidRDefault="009913FC" w:rsidP="00971145">
      <w:pPr>
        <w:spacing w:after="0" w:line="240" w:lineRule="auto"/>
        <w:rPr>
          <w:rFonts w:ascii="Arial" w:eastAsia="Times New Roman" w:hAnsi="Arial" w:cs="Arial"/>
          <w:b/>
          <w:color w:val="005EB8"/>
          <w:lang w:eastAsia="en-GB"/>
        </w:rPr>
      </w:pPr>
    </w:p>
    <w:tbl>
      <w:tblPr>
        <w:tblW w:w="9067" w:type="dxa"/>
        <w:tblLayout w:type="fixed"/>
        <w:tblLook w:val="04A0" w:firstRow="1" w:lastRow="0" w:firstColumn="1" w:lastColumn="0" w:noHBand="0" w:noVBand="1"/>
      </w:tblPr>
      <w:tblGrid>
        <w:gridCol w:w="2266"/>
        <w:gridCol w:w="2267"/>
        <w:gridCol w:w="2267"/>
        <w:gridCol w:w="2267"/>
      </w:tblGrid>
      <w:tr w:rsidR="00D43C88" w:rsidRPr="007B06B3" w14:paraId="0C75BD5F" w14:textId="77777777" w:rsidTr="007154A4">
        <w:trPr>
          <w:trHeight w:val="170"/>
        </w:trPr>
        <w:tc>
          <w:tcPr>
            <w:tcW w:w="9067" w:type="dxa"/>
            <w:gridSpan w:val="4"/>
            <w:tcBorders>
              <w:top w:val="single" w:sz="18" w:space="0" w:color="000000"/>
              <w:left w:val="single" w:sz="18" w:space="0" w:color="000000"/>
              <w:bottom w:val="single" w:sz="4" w:space="0" w:color="auto"/>
              <w:right w:val="single" w:sz="18" w:space="0" w:color="000000"/>
            </w:tcBorders>
            <w:shd w:val="clear" w:color="000000" w:fill="9BC2E6"/>
            <w:noWrap/>
            <w:vAlign w:val="bottom"/>
            <w:hideMark/>
          </w:tcPr>
          <w:p w14:paraId="1BC5C07A" w14:textId="77777777" w:rsidR="00D43C88" w:rsidRPr="007B06B3" w:rsidRDefault="00D43C88" w:rsidP="00D43C88">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Care Hours Per Patient Day (CHPPD)</w:t>
            </w:r>
          </w:p>
        </w:tc>
      </w:tr>
      <w:tr w:rsidR="00D43C88" w:rsidRPr="007B06B3" w14:paraId="3D501DE6" w14:textId="77777777" w:rsidTr="007154A4">
        <w:trPr>
          <w:trHeight w:val="170"/>
        </w:trPr>
        <w:tc>
          <w:tcPr>
            <w:tcW w:w="2266" w:type="dxa"/>
            <w:tcBorders>
              <w:top w:val="single" w:sz="18" w:space="0" w:color="000000"/>
              <w:left w:val="single" w:sz="18" w:space="0" w:color="000000"/>
              <w:bottom w:val="single" w:sz="18" w:space="0" w:color="000000"/>
              <w:right w:val="single" w:sz="18" w:space="0" w:color="000000"/>
            </w:tcBorders>
            <w:shd w:val="clear" w:color="000000" w:fill="9BC2E6"/>
            <w:noWrap/>
            <w:vAlign w:val="center"/>
            <w:hideMark/>
          </w:tcPr>
          <w:p w14:paraId="1BEEB011" w14:textId="6CABEFEF" w:rsidR="00D43C88" w:rsidRPr="007B06B3" w:rsidRDefault="00D43C88" w:rsidP="00D43C88">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Ward</w:t>
            </w:r>
            <w:r w:rsidR="000D2BCC" w:rsidRPr="007B06B3">
              <w:rPr>
                <w:rFonts w:ascii="Arial" w:eastAsia="Times New Roman" w:hAnsi="Arial" w:cs="Arial"/>
                <w:color w:val="000000"/>
                <w:sz w:val="20"/>
                <w:szCs w:val="20"/>
                <w:lang w:eastAsia="en-GB"/>
              </w:rPr>
              <w:t>/Unit</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EE54BC0" w14:textId="77777777" w:rsidR="00D43C88" w:rsidRPr="007B06B3" w:rsidRDefault="00D43C88" w:rsidP="00D43C88">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2D97DAD8" w14:textId="77777777" w:rsidR="00D43C88" w:rsidRPr="007B06B3" w:rsidRDefault="00D43C88" w:rsidP="00D43C88">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Non-registered Nurses/Midwives</w:t>
            </w:r>
          </w:p>
        </w:tc>
        <w:tc>
          <w:tcPr>
            <w:tcW w:w="2267" w:type="dxa"/>
            <w:tcBorders>
              <w:top w:val="single" w:sz="18" w:space="0" w:color="000000"/>
              <w:left w:val="single" w:sz="18" w:space="0" w:color="000000"/>
              <w:bottom w:val="single" w:sz="18" w:space="0" w:color="000000"/>
              <w:right w:val="single" w:sz="18" w:space="0" w:color="000000"/>
            </w:tcBorders>
            <w:shd w:val="clear" w:color="000000" w:fill="9BC2E6"/>
            <w:vAlign w:val="center"/>
            <w:hideMark/>
          </w:tcPr>
          <w:p w14:paraId="35B35EFF" w14:textId="77777777" w:rsidR="00D43C88" w:rsidRPr="007B06B3" w:rsidRDefault="00D43C88" w:rsidP="00D43C88">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Overall</w:t>
            </w:r>
          </w:p>
        </w:tc>
      </w:tr>
      <w:tr w:rsidR="007C77D1" w:rsidRPr="007B06B3" w14:paraId="468642A3" w14:textId="77777777" w:rsidTr="007C77D1">
        <w:trPr>
          <w:trHeight w:val="116"/>
        </w:trPr>
        <w:tc>
          <w:tcPr>
            <w:tcW w:w="2266" w:type="dxa"/>
            <w:tcBorders>
              <w:top w:val="single" w:sz="18" w:space="0" w:color="000000"/>
              <w:left w:val="single" w:sz="18" w:space="0" w:color="000000"/>
              <w:bottom w:val="single" w:sz="18" w:space="0" w:color="000000"/>
              <w:right w:val="single" w:sz="18" w:space="0" w:color="000000"/>
            </w:tcBorders>
            <w:shd w:val="clear" w:color="auto" w:fill="4472C4" w:themeFill="accent1"/>
            <w:vAlign w:val="center"/>
            <w:hideMark/>
          </w:tcPr>
          <w:p w14:paraId="4597E269" w14:textId="77777777" w:rsidR="007C77D1" w:rsidRPr="007B06B3" w:rsidRDefault="007C77D1" w:rsidP="007C77D1">
            <w:pPr>
              <w:spacing w:after="0" w:line="240" w:lineRule="auto"/>
              <w:jc w:val="center"/>
              <w:rPr>
                <w:rFonts w:ascii="Arial" w:eastAsia="Times New Roman" w:hAnsi="Arial" w:cs="Arial"/>
                <w:b/>
                <w:i/>
                <w:color w:val="000000"/>
                <w:sz w:val="20"/>
                <w:szCs w:val="20"/>
                <w:lang w:eastAsia="en-GB"/>
              </w:rPr>
            </w:pPr>
            <w:r w:rsidRPr="007B06B3">
              <w:rPr>
                <w:rFonts w:ascii="Arial" w:eastAsia="Times New Roman" w:hAnsi="Arial" w:cs="Arial"/>
                <w:b/>
                <w:i/>
                <w:color w:val="000000"/>
                <w:sz w:val="20"/>
                <w:szCs w:val="20"/>
                <w:lang w:eastAsia="en-GB"/>
              </w:rPr>
              <w:t>Trust Total</w:t>
            </w:r>
          </w:p>
        </w:tc>
        <w:tc>
          <w:tcPr>
            <w:tcW w:w="2267" w:type="dxa"/>
            <w:tcBorders>
              <w:top w:val="single" w:sz="18" w:space="0" w:color="000000"/>
              <w:left w:val="single" w:sz="18" w:space="0" w:color="000000"/>
              <w:bottom w:val="single" w:sz="18" w:space="0" w:color="000000"/>
              <w:right w:val="single" w:sz="18" w:space="0" w:color="auto"/>
            </w:tcBorders>
            <w:shd w:val="clear" w:color="auto" w:fill="4472C4" w:themeFill="accent1"/>
          </w:tcPr>
          <w:p w14:paraId="6ED5B886" w14:textId="54332784" w:rsidR="007C77D1" w:rsidRPr="007B06B3" w:rsidRDefault="007C77D1" w:rsidP="007C77D1">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5.0</w:t>
            </w:r>
          </w:p>
        </w:tc>
        <w:tc>
          <w:tcPr>
            <w:tcW w:w="2267" w:type="dxa"/>
            <w:tcBorders>
              <w:top w:val="single" w:sz="18" w:space="0" w:color="000000"/>
              <w:left w:val="single" w:sz="18" w:space="0" w:color="auto"/>
              <w:bottom w:val="single" w:sz="18" w:space="0" w:color="000000"/>
              <w:right w:val="single" w:sz="18" w:space="0" w:color="auto"/>
            </w:tcBorders>
            <w:shd w:val="clear" w:color="auto" w:fill="4472C4" w:themeFill="accent1"/>
          </w:tcPr>
          <w:p w14:paraId="1814D97A" w14:textId="479B3103" w:rsidR="007C77D1" w:rsidRPr="007B06B3" w:rsidRDefault="007C77D1" w:rsidP="007C77D1">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3.0</w:t>
            </w:r>
          </w:p>
        </w:tc>
        <w:tc>
          <w:tcPr>
            <w:tcW w:w="2267" w:type="dxa"/>
            <w:tcBorders>
              <w:top w:val="single" w:sz="18" w:space="0" w:color="000000"/>
              <w:left w:val="single" w:sz="18" w:space="0" w:color="auto"/>
              <w:bottom w:val="single" w:sz="18" w:space="0" w:color="000000"/>
              <w:right w:val="single" w:sz="18" w:space="0" w:color="000000"/>
            </w:tcBorders>
            <w:shd w:val="clear" w:color="auto" w:fill="4472C4" w:themeFill="accent1"/>
          </w:tcPr>
          <w:p w14:paraId="72E7ED44" w14:textId="435C30BF" w:rsidR="007C77D1" w:rsidRPr="007B06B3" w:rsidRDefault="007C77D1" w:rsidP="007C77D1">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7.9</w:t>
            </w:r>
          </w:p>
        </w:tc>
      </w:tr>
      <w:tr w:rsidR="009E73C0" w:rsidRPr="007B06B3" w14:paraId="0827159A" w14:textId="77777777" w:rsidTr="00D1177B">
        <w:trPr>
          <w:trHeight w:val="170"/>
        </w:trPr>
        <w:tc>
          <w:tcPr>
            <w:tcW w:w="2266" w:type="dxa"/>
            <w:tcBorders>
              <w:top w:val="single" w:sz="18" w:space="0" w:color="000000"/>
              <w:left w:val="single" w:sz="18" w:space="0" w:color="000000"/>
              <w:bottom w:val="single" w:sz="4" w:space="0" w:color="auto"/>
              <w:right w:val="single" w:sz="18" w:space="0" w:color="000000"/>
            </w:tcBorders>
            <w:noWrap/>
          </w:tcPr>
          <w:p w14:paraId="27B747A6" w14:textId="1649D8C5"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Harvey </w:t>
            </w:r>
          </w:p>
        </w:tc>
        <w:tc>
          <w:tcPr>
            <w:tcW w:w="2267" w:type="dxa"/>
            <w:tcBorders>
              <w:top w:val="single" w:sz="4" w:space="0" w:color="auto"/>
              <w:left w:val="single" w:sz="8" w:space="0" w:color="auto"/>
              <w:bottom w:val="single" w:sz="4" w:space="0" w:color="auto"/>
              <w:right w:val="single" w:sz="18" w:space="0" w:color="auto"/>
            </w:tcBorders>
            <w:shd w:val="clear" w:color="000000" w:fill="D0CECE"/>
            <w:noWrap/>
          </w:tcPr>
          <w:p w14:paraId="3D447C61" w14:textId="678711A9"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4.8</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tcPr>
          <w:p w14:paraId="07645D40" w14:textId="534F8084" w:rsidR="009E73C0" w:rsidRPr="007B06B3" w:rsidRDefault="009E73C0" w:rsidP="009E73C0">
            <w:pPr>
              <w:spacing w:after="0"/>
              <w:jc w:val="center"/>
              <w:rPr>
                <w:rFonts w:ascii="Arial" w:hAnsi="Arial" w:cs="Arial"/>
                <w:sz w:val="20"/>
                <w:szCs w:val="20"/>
              </w:rPr>
            </w:pPr>
            <w:r w:rsidRPr="007B06B3">
              <w:rPr>
                <w:rFonts w:ascii="Arial" w:hAnsi="Arial" w:cs="Arial"/>
                <w:sz w:val="20"/>
                <w:szCs w:val="20"/>
              </w:rPr>
              <w:t>3.5</w:t>
            </w:r>
          </w:p>
        </w:tc>
        <w:tc>
          <w:tcPr>
            <w:tcW w:w="2267" w:type="dxa"/>
            <w:tcBorders>
              <w:top w:val="single" w:sz="4" w:space="0" w:color="auto"/>
              <w:left w:val="single" w:sz="18" w:space="0" w:color="auto"/>
              <w:bottom w:val="single" w:sz="4" w:space="0" w:color="auto"/>
              <w:right w:val="single" w:sz="18" w:space="0" w:color="auto"/>
            </w:tcBorders>
            <w:shd w:val="clear" w:color="000000" w:fill="D0CECE"/>
            <w:noWrap/>
          </w:tcPr>
          <w:p w14:paraId="305A02B8" w14:textId="6B863B82" w:rsidR="009E73C0" w:rsidRPr="007B06B3" w:rsidRDefault="009E73C0" w:rsidP="009E73C0">
            <w:pPr>
              <w:spacing w:after="0"/>
              <w:jc w:val="center"/>
              <w:rPr>
                <w:rFonts w:ascii="Arial" w:hAnsi="Arial" w:cs="Arial"/>
                <w:sz w:val="20"/>
                <w:szCs w:val="20"/>
              </w:rPr>
            </w:pPr>
            <w:r w:rsidRPr="007B06B3">
              <w:rPr>
                <w:rFonts w:ascii="Arial" w:hAnsi="Arial" w:cs="Arial"/>
                <w:sz w:val="20"/>
                <w:szCs w:val="20"/>
              </w:rPr>
              <w:t>8.3</w:t>
            </w:r>
          </w:p>
        </w:tc>
      </w:tr>
      <w:tr w:rsidR="009E73C0" w:rsidRPr="007B06B3" w14:paraId="68E1B258"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5E7476BB" w14:textId="2A0DC294"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Henry Moore </w:t>
            </w:r>
          </w:p>
        </w:tc>
        <w:tc>
          <w:tcPr>
            <w:tcW w:w="2267" w:type="dxa"/>
            <w:tcBorders>
              <w:top w:val="nil"/>
              <w:left w:val="single" w:sz="8" w:space="0" w:color="auto"/>
              <w:bottom w:val="single" w:sz="4" w:space="0" w:color="auto"/>
              <w:right w:val="single" w:sz="18" w:space="0" w:color="auto"/>
            </w:tcBorders>
            <w:shd w:val="clear" w:color="000000" w:fill="D0CECE"/>
            <w:noWrap/>
          </w:tcPr>
          <w:p w14:paraId="34FBD035" w14:textId="4F2E5D07"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3.7</w:t>
            </w:r>
          </w:p>
        </w:tc>
        <w:tc>
          <w:tcPr>
            <w:tcW w:w="2267" w:type="dxa"/>
            <w:tcBorders>
              <w:top w:val="nil"/>
              <w:left w:val="single" w:sz="18" w:space="0" w:color="auto"/>
              <w:bottom w:val="single" w:sz="4" w:space="0" w:color="auto"/>
              <w:right w:val="single" w:sz="18" w:space="0" w:color="auto"/>
            </w:tcBorders>
            <w:shd w:val="clear" w:color="000000" w:fill="D0CECE"/>
            <w:noWrap/>
          </w:tcPr>
          <w:p w14:paraId="3B6F46CA" w14:textId="4698C894"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2.8</w:t>
            </w:r>
          </w:p>
        </w:tc>
        <w:tc>
          <w:tcPr>
            <w:tcW w:w="2267" w:type="dxa"/>
            <w:tcBorders>
              <w:top w:val="nil"/>
              <w:left w:val="single" w:sz="18" w:space="0" w:color="auto"/>
              <w:bottom w:val="single" w:sz="4" w:space="0" w:color="auto"/>
              <w:right w:val="single" w:sz="18" w:space="0" w:color="auto"/>
            </w:tcBorders>
            <w:shd w:val="clear" w:color="000000" w:fill="D0CECE"/>
            <w:noWrap/>
          </w:tcPr>
          <w:p w14:paraId="36FB7C70" w14:textId="1AAD08AF"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6.5</w:t>
            </w:r>
          </w:p>
        </w:tc>
      </w:tr>
      <w:tr w:rsidR="009E73C0" w:rsidRPr="007B06B3" w14:paraId="05970038"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3583DC1F" w14:textId="77777777"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ITU &amp; HDU</w:t>
            </w:r>
          </w:p>
        </w:tc>
        <w:tc>
          <w:tcPr>
            <w:tcW w:w="2267" w:type="dxa"/>
            <w:tcBorders>
              <w:top w:val="nil"/>
              <w:left w:val="single" w:sz="8" w:space="0" w:color="auto"/>
              <w:bottom w:val="single" w:sz="4" w:space="0" w:color="auto"/>
              <w:right w:val="single" w:sz="18" w:space="0" w:color="auto"/>
            </w:tcBorders>
            <w:shd w:val="clear" w:color="000000" w:fill="D0CECE"/>
            <w:noWrap/>
          </w:tcPr>
          <w:p w14:paraId="1EA0584C" w14:textId="6869224A"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19.3</w:t>
            </w:r>
          </w:p>
        </w:tc>
        <w:tc>
          <w:tcPr>
            <w:tcW w:w="2267" w:type="dxa"/>
            <w:tcBorders>
              <w:top w:val="nil"/>
              <w:left w:val="single" w:sz="18" w:space="0" w:color="auto"/>
              <w:bottom w:val="single" w:sz="4" w:space="0" w:color="auto"/>
              <w:right w:val="single" w:sz="18" w:space="0" w:color="auto"/>
            </w:tcBorders>
            <w:shd w:val="clear" w:color="000000" w:fill="D0CECE"/>
            <w:noWrap/>
          </w:tcPr>
          <w:p w14:paraId="08681695" w14:textId="7981D175"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1.9</w:t>
            </w:r>
          </w:p>
        </w:tc>
        <w:tc>
          <w:tcPr>
            <w:tcW w:w="2267" w:type="dxa"/>
            <w:tcBorders>
              <w:top w:val="nil"/>
              <w:left w:val="single" w:sz="18" w:space="0" w:color="auto"/>
              <w:bottom w:val="single" w:sz="4" w:space="0" w:color="auto"/>
              <w:right w:val="single" w:sz="18" w:space="0" w:color="auto"/>
            </w:tcBorders>
            <w:shd w:val="clear" w:color="000000" w:fill="D0CECE"/>
            <w:noWrap/>
          </w:tcPr>
          <w:p w14:paraId="1C3703BC" w14:textId="2BE5A447"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21.2</w:t>
            </w:r>
          </w:p>
        </w:tc>
      </w:tr>
      <w:tr w:rsidR="009E73C0" w:rsidRPr="007B06B3" w14:paraId="0A468044"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0CF00B4F" w14:textId="6CEE6667"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John Snow </w:t>
            </w:r>
          </w:p>
        </w:tc>
        <w:tc>
          <w:tcPr>
            <w:tcW w:w="2267" w:type="dxa"/>
            <w:tcBorders>
              <w:top w:val="nil"/>
              <w:left w:val="single" w:sz="8" w:space="0" w:color="auto"/>
              <w:bottom w:val="single" w:sz="4" w:space="0" w:color="auto"/>
              <w:right w:val="single" w:sz="18" w:space="0" w:color="auto"/>
            </w:tcBorders>
            <w:shd w:val="clear" w:color="000000" w:fill="D0CECE"/>
            <w:noWrap/>
          </w:tcPr>
          <w:p w14:paraId="6FEE9A8E" w14:textId="48E5D054"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6.0</w:t>
            </w:r>
          </w:p>
        </w:tc>
        <w:tc>
          <w:tcPr>
            <w:tcW w:w="2267" w:type="dxa"/>
            <w:tcBorders>
              <w:top w:val="nil"/>
              <w:left w:val="single" w:sz="18" w:space="0" w:color="auto"/>
              <w:bottom w:val="single" w:sz="4" w:space="0" w:color="auto"/>
              <w:right w:val="single" w:sz="18" w:space="0" w:color="auto"/>
            </w:tcBorders>
            <w:shd w:val="clear" w:color="000000" w:fill="D0CECE"/>
            <w:noWrap/>
          </w:tcPr>
          <w:p w14:paraId="2FAC3704" w14:textId="541A70A6"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1.2</w:t>
            </w:r>
          </w:p>
        </w:tc>
        <w:tc>
          <w:tcPr>
            <w:tcW w:w="2267" w:type="dxa"/>
            <w:tcBorders>
              <w:top w:val="nil"/>
              <w:left w:val="single" w:sz="18" w:space="0" w:color="auto"/>
              <w:bottom w:val="single" w:sz="4" w:space="0" w:color="auto"/>
              <w:right w:val="single" w:sz="18" w:space="0" w:color="auto"/>
            </w:tcBorders>
            <w:shd w:val="clear" w:color="000000" w:fill="D0CECE"/>
            <w:noWrap/>
          </w:tcPr>
          <w:p w14:paraId="7CC770FC" w14:textId="2EEEBDF3"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7.2</w:t>
            </w:r>
          </w:p>
        </w:tc>
      </w:tr>
      <w:tr w:rsidR="009E73C0" w:rsidRPr="007B06B3" w14:paraId="521051D0"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4DB368F9" w14:textId="10DB77EE"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Penn </w:t>
            </w:r>
          </w:p>
        </w:tc>
        <w:tc>
          <w:tcPr>
            <w:tcW w:w="2267" w:type="dxa"/>
            <w:tcBorders>
              <w:top w:val="nil"/>
              <w:left w:val="single" w:sz="8" w:space="0" w:color="auto"/>
              <w:bottom w:val="single" w:sz="4" w:space="0" w:color="auto"/>
              <w:right w:val="single" w:sz="18" w:space="0" w:color="auto"/>
            </w:tcBorders>
            <w:shd w:val="clear" w:color="000000" w:fill="D0CECE"/>
            <w:noWrap/>
          </w:tcPr>
          <w:p w14:paraId="76CF021A" w14:textId="6A2A0825"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4.0</w:t>
            </w:r>
          </w:p>
        </w:tc>
        <w:tc>
          <w:tcPr>
            <w:tcW w:w="2267" w:type="dxa"/>
            <w:tcBorders>
              <w:top w:val="nil"/>
              <w:left w:val="single" w:sz="18" w:space="0" w:color="auto"/>
              <w:bottom w:val="single" w:sz="4" w:space="0" w:color="auto"/>
              <w:right w:val="single" w:sz="18" w:space="0" w:color="auto"/>
            </w:tcBorders>
            <w:shd w:val="clear" w:color="000000" w:fill="D0CECE"/>
            <w:noWrap/>
          </w:tcPr>
          <w:p w14:paraId="7E90A3FD" w14:textId="0B4FBF6C"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3.1</w:t>
            </w:r>
          </w:p>
        </w:tc>
        <w:tc>
          <w:tcPr>
            <w:tcW w:w="2267" w:type="dxa"/>
            <w:tcBorders>
              <w:top w:val="nil"/>
              <w:left w:val="single" w:sz="18" w:space="0" w:color="auto"/>
              <w:bottom w:val="single" w:sz="4" w:space="0" w:color="auto"/>
              <w:right w:val="single" w:sz="18" w:space="0" w:color="auto"/>
            </w:tcBorders>
            <w:shd w:val="clear" w:color="000000" w:fill="D0CECE"/>
            <w:noWrap/>
          </w:tcPr>
          <w:p w14:paraId="0DF02D8E" w14:textId="7EA761BF"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7.1</w:t>
            </w:r>
          </w:p>
        </w:tc>
      </w:tr>
      <w:tr w:rsidR="009E73C0" w:rsidRPr="007B06B3" w14:paraId="0B1F705E" w14:textId="77777777" w:rsidTr="00D1177B">
        <w:trPr>
          <w:trHeight w:val="170"/>
        </w:trPr>
        <w:tc>
          <w:tcPr>
            <w:tcW w:w="2266" w:type="dxa"/>
            <w:tcBorders>
              <w:top w:val="nil"/>
              <w:left w:val="single" w:sz="18" w:space="0" w:color="000000"/>
              <w:bottom w:val="single" w:sz="4" w:space="0" w:color="auto"/>
              <w:right w:val="single" w:sz="18" w:space="0" w:color="000000"/>
            </w:tcBorders>
            <w:noWrap/>
          </w:tcPr>
          <w:p w14:paraId="571F7F5D" w14:textId="4E949856" w:rsidR="009E73C0" w:rsidRPr="007B06B3" w:rsidRDefault="009E73C0" w:rsidP="009E73C0">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Saunders </w:t>
            </w:r>
          </w:p>
        </w:tc>
        <w:tc>
          <w:tcPr>
            <w:tcW w:w="2267" w:type="dxa"/>
            <w:tcBorders>
              <w:top w:val="nil"/>
              <w:left w:val="single" w:sz="8" w:space="0" w:color="auto"/>
              <w:bottom w:val="single" w:sz="4" w:space="0" w:color="auto"/>
              <w:right w:val="single" w:sz="18" w:space="0" w:color="auto"/>
            </w:tcBorders>
            <w:shd w:val="clear" w:color="000000" w:fill="D0CECE"/>
            <w:noWrap/>
          </w:tcPr>
          <w:p w14:paraId="6E65F4B7" w14:textId="08495106"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4.1</w:t>
            </w:r>
          </w:p>
        </w:tc>
        <w:tc>
          <w:tcPr>
            <w:tcW w:w="2267" w:type="dxa"/>
            <w:tcBorders>
              <w:top w:val="nil"/>
              <w:left w:val="single" w:sz="18" w:space="0" w:color="auto"/>
              <w:bottom w:val="single" w:sz="4" w:space="0" w:color="auto"/>
              <w:right w:val="single" w:sz="18" w:space="0" w:color="auto"/>
            </w:tcBorders>
            <w:shd w:val="clear" w:color="000000" w:fill="D0CECE"/>
            <w:noWrap/>
          </w:tcPr>
          <w:p w14:paraId="5869F9D4" w14:textId="072F956E"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3.3</w:t>
            </w:r>
          </w:p>
        </w:tc>
        <w:tc>
          <w:tcPr>
            <w:tcW w:w="2267" w:type="dxa"/>
            <w:tcBorders>
              <w:top w:val="nil"/>
              <w:left w:val="single" w:sz="18" w:space="0" w:color="auto"/>
              <w:bottom w:val="single" w:sz="4" w:space="0" w:color="auto"/>
              <w:right w:val="single" w:sz="18" w:space="0" w:color="auto"/>
            </w:tcBorders>
            <w:shd w:val="clear" w:color="000000" w:fill="D0CECE"/>
            <w:noWrap/>
          </w:tcPr>
          <w:p w14:paraId="74A222D6" w14:textId="3814C11F" w:rsidR="009E73C0" w:rsidRPr="007B06B3" w:rsidRDefault="009E73C0" w:rsidP="009E73C0">
            <w:pPr>
              <w:spacing w:after="0" w:line="240" w:lineRule="auto"/>
              <w:jc w:val="center"/>
              <w:rPr>
                <w:rFonts w:ascii="Arial" w:hAnsi="Arial" w:cs="Arial"/>
                <w:sz w:val="20"/>
                <w:szCs w:val="20"/>
              </w:rPr>
            </w:pPr>
            <w:r w:rsidRPr="007B06B3">
              <w:rPr>
                <w:rFonts w:ascii="Arial" w:hAnsi="Arial" w:cs="Arial"/>
                <w:sz w:val="20"/>
                <w:szCs w:val="20"/>
              </w:rPr>
              <w:t>7.3</w:t>
            </w:r>
          </w:p>
        </w:tc>
      </w:tr>
      <w:tr w:rsidR="009E73C0" w:rsidRPr="007B06B3" w14:paraId="4A0A962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50268D1B" w14:textId="77777777" w:rsidR="009E73C0" w:rsidRPr="007B06B3" w:rsidRDefault="009E73C0" w:rsidP="009E73C0">
            <w:pPr>
              <w:spacing w:after="0" w:line="240" w:lineRule="auto"/>
              <w:jc w:val="center"/>
              <w:rPr>
                <w:rFonts w:ascii="Arial" w:eastAsia="Times New Roman" w:hAnsi="Arial" w:cs="Arial"/>
                <w:b/>
                <w:i/>
                <w:color w:val="000000"/>
                <w:sz w:val="20"/>
                <w:szCs w:val="20"/>
                <w:lang w:eastAsia="en-GB"/>
              </w:rPr>
            </w:pPr>
            <w:r w:rsidRPr="007B06B3">
              <w:rPr>
                <w:rFonts w:ascii="Arial" w:eastAsia="Times New Roman" w:hAnsi="Arial" w:cs="Arial"/>
                <w:b/>
                <w:i/>
                <w:color w:val="000000"/>
                <w:sz w:val="20"/>
                <w:szCs w:val="20"/>
                <w:lang w:eastAsia="en-GB"/>
              </w:rPr>
              <w:t>Surgery Total</w:t>
            </w:r>
          </w:p>
        </w:tc>
        <w:tc>
          <w:tcPr>
            <w:tcW w:w="2267" w:type="dxa"/>
            <w:tcBorders>
              <w:top w:val="single" w:sz="6" w:space="0" w:color="auto"/>
              <w:left w:val="single" w:sz="8" w:space="0" w:color="auto"/>
              <w:bottom w:val="single" w:sz="4" w:space="0" w:color="auto"/>
              <w:right w:val="single" w:sz="18" w:space="0" w:color="auto"/>
            </w:tcBorders>
            <w:shd w:val="clear" w:color="auto" w:fill="4472C4" w:themeFill="accent1"/>
            <w:noWrap/>
          </w:tcPr>
          <w:p w14:paraId="72001F2B" w14:textId="08B7DDE6" w:rsidR="009E73C0" w:rsidRPr="007B06B3" w:rsidRDefault="009E73C0" w:rsidP="009E73C0">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5.8</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9B8B713" w14:textId="7288C610" w:rsidR="009E73C0" w:rsidRPr="007B06B3" w:rsidRDefault="009E73C0" w:rsidP="009E73C0">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2.9</w:t>
            </w:r>
          </w:p>
        </w:tc>
        <w:tc>
          <w:tcPr>
            <w:tcW w:w="2267" w:type="dxa"/>
            <w:tcBorders>
              <w:top w:val="single" w:sz="6" w:space="0" w:color="auto"/>
              <w:left w:val="single" w:sz="18" w:space="0" w:color="auto"/>
              <w:bottom w:val="single" w:sz="4" w:space="0" w:color="auto"/>
              <w:right w:val="single" w:sz="18" w:space="0" w:color="auto"/>
            </w:tcBorders>
            <w:shd w:val="clear" w:color="auto" w:fill="4472C4" w:themeFill="accent1"/>
            <w:noWrap/>
          </w:tcPr>
          <w:p w14:paraId="0E541086" w14:textId="575E5199" w:rsidR="009E73C0" w:rsidRPr="007B06B3" w:rsidRDefault="009E73C0" w:rsidP="009E73C0">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8.7</w:t>
            </w:r>
          </w:p>
        </w:tc>
      </w:tr>
      <w:tr w:rsidR="00EE005F" w:rsidRPr="007B06B3" w14:paraId="21520383"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hideMark/>
          </w:tcPr>
          <w:p w14:paraId="132E6BB3" w14:textId="35A501E5"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Fleming</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6E6613B" w14:textId="04D96C64"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3.8</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F2CFEE7" w14:textId="7A2FB247" w:rsidR="00EE005F" w:rsidRPr="007B06B3" w:rsidRDefault="00EE005F" w:rsidP="00EE005F">
            <w:pPr>
              <w:spacing w:after="0"/>
              <w:jc w:val="center"/>
              <w:rPr>
                <w:rFonts w:ascii="Arial" w:eastAsia="Times New Roman" w:hAnsi="Arial" w:cs="Arial"/>
                <w:color w:val="000000"/>
                <w:sz w:val="20"/>
                <w:szCs w:val="20"/>
                <w:lang w:eastAsia="en-GB"/>
              </w:rPr>
            </w:pPr>
            <w:r w:rsidRPr="007B06B3">
              <w:rPr>
                <w:rFonts w:ascii="Arial" w:hAnsi="Arial" w:cs="Arial"/>
                <w:sz w:val="20"/>
                <w:szCs w:val="20"/>
              </w:rPr>
              <w:t>1.7</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7C3BE876" w14:textId="672E9486" w:rsidR="00EE005F" w:rsidRPr="007B06B3" w:rsidRDefault="00EE005F" w:rsidP="00EE005F">
            <w:pPr>
              <w:spacing w:after="0"/>
              <w:jc w:val="center"/>
              <w:rPr>
                <w:rFonts w:ascii="Arial" w:eastAsia="Times New Roman" w:hAnsi="Arial" w:cs="Arial"/>
                <w:color w:val="000000"/>
                <w:sz w:val="20"/>
                <w:szCs w:val="20"/>
                <w:lang w:eastAsia="en-GB"/>
              </w:rPr>
            </w:pPr>
            <w:r w:rsidRPr="007B06B3">
              <w:rPr>
                <w:rFonts w:ascii="Arial" w:hAnsi="Arial" w:cs="Arial"/>
                <w:sz w:val="20"/>
                <w:szCs w:val="20"/>
              </w:rPr>
              <w:t>5.4</w:t>
            </w:r>
          </w:p>
        </w:tc>
      </w:tr>
      <w:tr w:rsidR="00EE005F" w:rsidRPr="007B06B3" w14:paraId="60DB2281"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625D69D1" w14:textId="16468230"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Harold </w:t>
            </w:r>
          </w:p>
        </w:tc>
        <w:tc>
          <w:tcPr>
            <w:tcW w:w="2267" w:type="dxa"/>
            <w:tcBorders>
              <w:top w:val="nil"/>
              <w:left w:val="single" w:sz="18" w:space="0" w:color="000000"/>
              <w:bottom w:val="single" w:sz="4" w:space="0" w:color="auto"/>
              <w:right w:val="single" w:sz="18" w:space="0" w:color="000000"/>
            </w:tcBorders>
            <w:shd w:val="clear" w:color="000000" w:fill="D9D9D9"/>
            <w:noWrap/>
          </w:tcPr>
          <w:p w14:paraId="34B15DBA" w14:textId="2CA60577"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4.6</w:t>
            </w:r>
          </w:p>
        </w:tc>
        <w:tc>
          <w:tcPr>
            <w:tcW w:w="2267" w:type="dxa"/>
            <w:tcBorders>
              <w:top w:val="nil"/>
              <w:left w:val="single" w:sz="18" w:space="0" w:color="000000"/>
              <w:bottom w:val="single" w:sz="4" w:space="0" w:color="auto"/>
              <w:right w:val="single" w:sz="18" w:space="0" w:color="000000"/>
            </w:tcBorders>
            <w:shd w:val="clear" w:color="000000" w:fill="D9D9D9"/>
            <w:noWrap/>
          </w:tcPr>
          <w:p w14:paraId="13658A81" w14:textId="59CAA2CB"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2.6</w:t>
            </w:r>
          </w:p>
        </w:tc>
        <w:tc>
          <w:tcPr>
            <w:tcW w:w="2267" w:type="dxa"/>
            <w:tcBorders>
              <w:top w:val="nil"/>
              <w:left w:val="single" w:sz="18" w:space="0" w:color="000000"/>
              <w:bottom w:val="single" w:sz="4" w:space="0" w:color="auto"/>
              <w:right w:val="single" w:sz="18" w:space="0" w:color="000000"/>
            </w:tcBorders>
            <w:shd w:val="clear" w:color="000000" w:fill="D0CECE"/>
            <w:noWrap/>
          </w:tcPr>
          <w:p w14:paraId="397F39DA" w14:textId="626CD9E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7.2</w:t>
            </w:r>
          </w:p>
        </w:tc>
      </w:tr>
      <w:tr w:rsidR="00EE005F" w:rsidRPr="007B06B3" w14:paraId="74A4FA7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1C7A58D" w14:textId="29FD36AB"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Kingsmoor </w:t>
            </w:r>
          </w:p>
        </w:tc>
        <w:tc>
          <w:tcPr>
            <w:tcW w:w="2267" w:type="dxa"/>
            <w:tcBorders>
              <w:top w:val="nil"/>
              <w:left w:val="single" w:sz="18" w:space="0" w:color="000000"/>
              <w:bottom w:val="single" w:sz="4" w:space="0" w:color="auto"/>
              <w:right w:val="single" w:sz="18" w:space="0" w:color="000000"/>
            </w:tcBorders>
            <w:shd w:val="clear" w:color="000000" w:fill="D9D9D9"/>
            <w:noWrap/>
          </w:tcPr>
          <w:p w14:paraId="7326E145" w14:textId="73721D1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3.8</w:t>
            </w:r>
          </w:p>
        </w:tc>
        <w:tc>
          <w:tcPr>
            <w:tcW w:w="2267" w:type="dxa"/>
            <w:tcBorders>
              <w:top w:val="nil"/>
              <w:left w:val="single" w:sz="18" w:space="0" w:color="000000"/>
              <w:bottom w:val="single" w:sz="4" w:space="0" w:color="auto"/>
              <w:right w:val="single" w:sz="18" w:space="0" w:color="000000"/>
            </w:tcBorders>
            <w:shd w:val="clear" w:color="000000" w:fill="D9D9D9"/>
            <w:noWrap/>
          </w:tcPr>
          <w:p w14:paraId="359D061C" w14:textId="44770867"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64002554" w14:textId="3E99A4CA"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6.8</w:t>
            </w:r>
          </w:p>
        </w:tc>
      </w:tr>
      <w:tr w:rsidR="00EE005F" w:rsidRPr="007B06B3" w14:paraId="65BDB20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8292667" w14:textId="7226FFAE"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Lister </w:t>
            </w:r>
          </w:p>
        </w:tc>
        <w:tc>
          <w:tcPr>
            <w:tcW w:w="2267" w:type="dxa"/>
            <w:tcBorders>
              <w:top w:val="nil"/>
              <w:left w:val="single" w:sz="18" w:space="0" w:color="000000"/>
              <w:bottom w:val="single" w:sz="4" w:space="0" w:color="auto"/>
              <w:right w:val="single" w:sz="18" w:space="0" w:color="000000"/>
            </w:tcBorders>
            <w:shd w:val="clear" w:color="000000" w:fill="D9D9D9"/>
            <w:noWrap/>
          </w:tcPr>
          <w:p w14:paraId="5DB33DC5" w14:textId="530F0C5C"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40558E40" w14:textId="2DDF07CF"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3.1</w:t>
            </w:r>
          </w:p>
        </w:tc>
        <w:tc>
          <w:tcPr>
            <w:tcW w:w="2267" w:type="dxa"/>
            <w:tcBorders>
              <w:top w:val="nil"/>
              <w:left w:val="single" w:sz="18" w:space="0" w:color="000000"/>
              <w:bottom w:val="single" w:sz="4" w:space="0" w:color="auto"/>
              <w:right w:val="single" w:sz="18" w:space="0" w:color="000000"/>
            </w:tcBorders>
            <w:shd w:val="clear" w:color="000000" w:fill="D0CECE"/>
            <w:noWrap/>
          </w:tcPr>
          <w:p w14:paraId="2D3F055E" w14:textId="5E4F421E"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6.9</w:t>
            </w:r>
          </w:p>
        </w:tc>
      </w:tr>
      <w:tr w:rsidR="00EE005F" w:rsidRPr="007B06B3" w14:paraId="40D325F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9629573" w14:textId="5D2BB3F0"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Locke </w:t>
            </w:r>
          </w:p>
        </w:tc>
        <w:tc>
          <w:tcPr>
            <w:tcW w:w="2267" w:type="dxa"/>
            <w:tcBorders>
              <w:top w:val="nil"/>
              <w:left w:val="single" w:sz="18" w:space="0" w:color="000000"/>
              <w:bottom w:val="single" w:sz="4" w:space="0" w:color="auto"/>
              <w:right w:val="single" w:sz="18" w:space="0" w:color="000000"/>
            </w:tcBorders>
            <w:shd w:val="clear" w:color="000000" w:fill="D9D9D9"/>
            <w:noWrap/>
          </w:tcPr>
          <w:p w14:paraId="160C2263" w14:textId="5682B465"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3.9</w:t>
            </w:r>
          </w:p>
        </w:tc>
        <w:tc>
          <w:tcPr>
            <w:tcW w:w="2267" w:type="dxa"/>
            <w:tcBorders>
              <w:top w:val="nil"/>
              <w:left w:val="single" w:sz="18" w:space="0" w:color="000000"/>
              <w:bottom w:val="single" w:sz="4" w:space="0" w:color="auto"/>
              <w:right w:val="single" w:sz="18" w:space="0" w:color="000000"/>
            </w:tcBorders>
            <w:shd w:val="clear" w:color="000000" w:fill="D9D9D9"/>
            <w:noWrap/>
          </w:tcPr>
          <w:p w14:paraId="6A8FFFFC" w14:textId="526DDC2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2.9</w:t>
            </w:r>
          </w:p>
        </w:tc>
        <w:tc>
          <w:tcPr>
            <w:tcW w:w="2267" w:type="dxa"/>
            <w:tcBorders>
              <w:top w:val="nil"/>
              <w:left w:val="single" w:sz="18" w:space="0" w:color="000000"/>
              <w:bottom w:val="single" w:sz="4" w:space="0" w:color="auto"/>
              <w:right w:val="single" w:sz="18" w:space="0" w:color="000000"/>
            </w:tcBorders>
            <w:shd w:val="clear" w:color="000000" w:fill="D0CECE"/>
            <w:noWrap/>
          </w:tcPr>
          <w:p w14:paraId="315C6673" w14:textId="0F5E701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6.8</w:t>
            </w:r>
          </w:p>
        </w:tc>
      </w:tr>
      <w:tr w:rsidR="00EE005F" w:rsidRPr="007B06B3" w14:paraId="06C21062"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7F63520F" w14:textId="70A2F698"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Nightingale </w:t>
            </w:r>
          </w:p>
        </w:tc>
        <w:tc>
          <w:tcPr>
            <w:tcW w:w="2267" w:type="dxa"/>
            <w:tcBorders>
              <w:top w:val="nil"/>
              <w:left w:val="single" w:sz="18" w:space="0" w:color="000000"/>
              <w:bottom w:val="single" w:sz="4" w:space="0" w:color="auto"/>
              <w:right w:val="single" w:sz="18" w:space="0" w:color="000000"/>
            </w:tcBorders>
            <w:shd w:val="clear" w:color="000000" w:fill="D9D9D9"/>
            <w:noWrap/>
          </w:tcPr>
          <w:p w14:paraId="204FFC8B" w14:textId="0D35E777"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4.1</w:t>
            </w:r>
          </w:p>
        </w:tc>
        <w:tc>
          <w:tcPr>
            <w:tcW w:w="2267" w:type="dxa"/>
            <w:tcBorders>
              <w:top w:val="nil"/>
              <w:left w:val="single" w:sz="18" w:space="0" w:color="000000"/>
              <w:bottom w:val="single" w:sz="4" w:space="0" w:color="auto"/>
              <w:right w:val="single" w:sz="18" w:space="0" w:color="000000"/>
            </w:tcBorders>
            <w:shd w:val="clear" w:color="000000" w:fill="D9D9D9"/>
            <w:noWrap/>
          </w:tcPr>
          <w:p w14:paraId="379813F9" w14:textId="7FF3C7F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3.0</w:t>
            </w:r>
          </w:p>
        </w:tc>
        <w:tc>
          <w:tcPr>
            <w:tcW w:w="2267" w:type="dxa"/>
            <w:tcBorders>
              <w:top w:val="nil"/>
              <w:left w:val="single" w:sz="18" w:space="0" w:color="000000"/>
              <w:bottom w:val="single" w:sz="4" w:space="0" w:color="auto"/>
              <w:right w:val="single" w:sz="18" w:space="0" w:color="000000"/>
            </w:tcBorders>
            <w:shd w:val="clear" w:color="000000" w:fill="D0CECE"/>
            <w:noWrap/>
          </w:tcPr>
          <w:p w14:paraId="60430921" w14:textId="2EEF4DE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7.1</w:t>
            </w:r>
          </w:p>
        </w:tc>
      </w:tr>
      <w:tr w:rsidR="00EE005F" w:rsidRPr="007B06B3" w14:paraId="3513A7D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5DFB2776" w14:textId="36DB2173"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Opal </w:t>
            </w:r>
          </w:p>
        </w:tc>
        <w:tc>
          <w:tcPr>
            <w:tcW w:w="2267" w:type="dxa"/>
            <w:tcBorders>
              <w:top w:val="nil"/>
              <w:left w:val="single" w:sz="18" w:space="0" w:color="000000"/>
              <w:bottom w:val="single" w:sz="4" w:space="0" w:color="auto"/>
              <w:right w:val="single" w:sz="18" w:space="0" w:color="000000"/>
            </w:tcBorders>
            <w:shd w:val="clear" w:color="000000" w:fill="D9D9D9"/>
            <w:noWrap/>
          </w:tcPr>
          <w:p w14:paraId="0725CBFD" w14:textId="5C560CB0"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4.9</w:t>
            </w:r>
          </w:p>
        </w:tc>
        <w:tc>
          <w:tcPr>
            <w:tcW w:w="2267" w:type="dxa"/>
            <w:tcBorders>
              <w:top w:val="nil"/>
              <w:left w:val="single" w:sz="18" w:space="0" w:color="000000"/>
              <w:bottom w:val="single" w:sz="4" w:space="0" w:color="auto"/>
              <w:right w:val="single" w:sz="18" w:space="0" w:color="000000"/>
            </w:tcBorders>
            <w:shd w:val="clear" w:color="000000" w:fill="D9D9D9"/>
            <w:noWrap/>
          </w:tcPr>
          <w:p w14:paraId="500F4E86" w14:textId="47374EDA"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3.9</w:t>
            </w:r>
          </w:p>
        </w:tc>
        <w:tc>
          <w:tcPr>
            <w:tcW w:w="2267" w:type="dxa"/>
            <w:tcBorders>
              <w:top w:val="nil"/>
              <w:left w:val="single" w:sz="18" w:space="0" w:color="000000"/>
              <w:bottom w:val="single" w:sz="4" w:space="0" w:color="auto"/>
              <w:right w:val="single" w:sz="18" w:space="0" w:color="000000"/>
            </w:tcBorders>
            <w:shd w:val="clear" w:color="000000" w:fill="D0CECE"/>
            <w:noWrap/>
          </w:tcPr>
          <w:p w14:paraId="76444B8F" w14:textId="2B2A1308"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8.8</w:t>
            </w:r>
          </w:p>
        </w:tc>
      </w:tr>
      <w:tr w:rsidR="00EE005F" w:rsidRPr="007B06B3" w14:paraId="76E157C0"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4E1A6C05" w14:textId="0F9F18EA"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Ray </w:t>
            </w:r>
          </w:p>
        </w:tc>
        <w:tc>
          <w:tcPr>
            <w:tcW w:w="2267" w:type="dxa"/>
            <w:tcBorders>
              <w:top w:val="nil"/>
              <w:left w:val="single" w:sz="18" w:space="0" w:color="000000"/>
              <w:bottom w:val="single" w:sz="4" w:space="0" w:color="auto"/>
              <w:right w:val="single" w:sz="18" w:space="0" w:color="000000"/>
            </w:tcBorders>
            <w:shd w:val="clear" w:color="000000" w:fill="D9D9D9"/>
            <w:noWrap/>
          </w:tcPr>
          <w:p w14:paraId="66AEED41" w14:textId="251EC371"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4.4</w:t>
            </w:r>
          </w:p>
        </w:tc>
        <w:tc>
          <w:tcPr>
            <w:tcW w:w="2267" w:type="dxa"/>
            <w:tcBorders>
              <w:top w:val="nil"/>
              <w:left w:val="single" w:sz="18" w:space="0" w:color="000000"/>
              <w:bottom w:val="single" w:sz="4" w:space="0" w:color="auto"/>
              <w:right w:val="single" w:sz="18" w:space="0" w:color="000000"/>
            </w:tcBorders>
            <w:shd w:val="clear" w:color="000000" w:fill="D9D9D9"/>
            <w:noWrap/>
          </w:tcPr>
          <w:p w14:paraId="5FD0D6F7" w14:textId="3598A47D"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2.7</w:t>
            </w:r>
          </w:p>
        </w:tc>
        <w:tc>
          <w:tcPr>
            <w:tcW w:w="2267" w:type="dxa"/>
            <w:tcBorders>
              <w:top w:val="nil"/>
              <w:left w:val="single" w:sz="18" w:space="0" w:color="000000"/>
              <w:bottom w:val="single" w:sz="4" w:space="0" w:color="auto"/>
              <w:right w:val="single" w:sz="18" w:space="0" w:color="000000"/>
            </w:tcBorders>
            <w:shd w:val="clear" w:color="000000" w:fill="D0CECE"/>
            <w:noWrap/>
          </w:tcPr>
          <w:p w14:paraId="69D3A156" w14:textId="45F0E110"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7.1</w:t>
            </w:r>
          </w:p>
        </w:tc>
      </w:tr>
      <w:tr w:rsidR="00EE005F" w:rsidRPr="007B06B3" w14:paraId="269445CE"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3DF05617" w14:textId="658B7E34"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Tye Green </w:t>
            </w:r>
          </w:p>
        </w:tc>
        <w:tc>
          <w:tcPr>
            <w:tcW w:w="2267" w:type="dxa"/>
            <w:tcBorders>
              <w:top w:val="nil"/>
              <w:left w:val="single" w:sz="18" w:space="0" w:color="000000"/>
              <w:bottom w:val="single" w:sz="4" w:space="0" w:color="auto"/>
              <w:right w:val="single" w:sz="18" w:space="0" w:color="000000"/>
            </w:tcBorders>
            <w:shd w:val="clear" w:color="000000" w:fill="D9D9D9"/>
            <w:noWrap/>
          </w:tcPr>
          <w:p w14:paraId="48237537" w14:textId="51A0ABD7"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3.8</w:t>
            </w:r>
          </w:p>
        </w:tc>
        <w:tc>
          <w:tcPr>
            <w:tcW w:w="2267" w:type="dxa"/>
            <w:tcBorders>
              <w:top w:val="nil"/>
              <w:left w:val="single" w:sz="18" w:space="0" w:color="000000"/>
              <w:bottom w:val="single" w:sz="4" w:space="0" w:color="auto"/>
              <w:right w:val="single" w:sz="18" w:space="0" w:color="000000"/>
            </w:tcBorders>
            <w:shd w:val="clear" w:color="000000" w:fill="D9D9D9"/>
            <w:noWrap/>
          </w:tcPr>
          <w:p w14:paraId="1354960D" w14:textId="76BD7719"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2F0D26BF" w14:textId="50E5571C"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7.2</w:t>
            </w:r>
          </w:p>
        </w:tc>
      </w:tr>
      <w:tr w:rsidR="00EE005F" w:rsidRPr="007B06B3" w14:paraId="3CC586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hideMark/>
          </w:tcPr>
          <w:p w14:paraId="2146B034" w14:textId="33758FBF"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Winter </w:t>
            </w:r>
          </w:p>
        </w:tc>
        <w:tc>
          <w:tcPr>
            <w:tcW w:w="2267" w:type="dxa"/>
            <w:tcBorders>
              <w:top w:val="nil"/>
              <w:left w:val="single" w:sz="18" w:space="0" w:color="000000"/>
              <w:bottom w:val="single" w:sz="4" w:space="0" w:color="auto"/>
              <w:right w:val="single" w:sz="18" w:space="0" w:color="000000"/>
            </w:tcBorders>
            <w:shd w:val="clear" w:color="000000" w:fill="D9D9D9"/>
            <w:noWrap/>
          </w:tcPr>
          <w:p w14:paraId="2FE26F7E" w14:textId="3963AC75"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3.7</w:t>
            </w:r>
          </w:p>
        </w:tc>
        <w:tc>
          <w:tcPr>
            <w:tcW w:w="2267" w:type="dxa"/>
            <w:tcBorders>
              <w:top w:val="nil"/>
              <w:left w:val="single" w:sz="18" w:space="0" w:color="000000"/>
              <w:bottom w:val="single" w:sz="4" w:space="0" w:color="auto"/>
              <w:right w:val="single" w:sz="18" w:space="0" w:color="000000"/>
            </w:tcBorders>
            <w:shd w:val="clear" w:color="000000" w:fill="D9D9D9"/>
            <w:noWrap/>
          </w:tcPr>
          <w:p w14:paraId="1CDBFBE2" w14:textId="6EFC5E03"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3.3</w:t>
            </w:r>
          </w:p>
        </w:tc>
        <w:tc>
          <w:tcPr>
            <w:tcW w:w="2267" w:type="dxa"/>
            <w:tcBorders>
              <w:top w:val="nil"/>
              <w:left w:val="single" w:sz="18" w:space="0" w:color="000000"/>
              <w:bottom w:val="single" w:sz="4" w:space="0" w:color="auto"/>
              <w:right w:val="single" w:sz="18" w:space="0" w:color="000000"/>
            </w:tcBorders>
            <w:shd w:val="clear" w:color="000000" w:fill="D0CECE"/>
            <w:noWrap/>
          </w:tcPr>
          <w:p w14:paraId="3E5ACF0A" w14:textId="0323203F" w:rsidR="00EE005F" w:rsidRPr="007B06B3" w:rsidRDefault="00EE005F" w:rsidP="00EE005F">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7.0</w:t>
            </w:r>
          </w:p>
        </w:tc>
      </w:tr>
      <w:tr w:rsidR="006A4B8E" w:rsidRPr="007B06B3" w14:paraId="486A30B2"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00C4D9FB" w14:textId="77777777" w:rsidR="006A4B8E" w:rsidRPr="007B06B3" w:rsidRDefault="006A4B8E" w:rsidP="006A4B8E">
            <w:pPr>
              <w:spacing w:after="0" w:line="240" w:lineRule="auto"/>
              <w:jc w:val="center"/>
              <w:rPr>
                <w:rFonts w:ascii="Arial" w:eastAsia="Times New Roman" w:hAnsi="Arial" w:cs="Arial"/>
                <w:b/>
                <w:i/>
                <w:color w:val="000000"/>
                <w:sz w:val="20"/>
                <w:szCs w:val="20"/>
                <w:lang w:eastAsia="en-GB"/>
              </w:rPr>
            </w:pPr>
            <w:r w:rsidRPr="007B06B3">
              <w:rPr>
                <w:rFonts w:ascii="Arial" w:eastAsia="Times New Roman" w:hAnsi="Arial" w:cs="Arial"/>
                <w:b/>
                <w:i/>
                <w:color w:val="000000"/>
                <w:sz w:val="20"/>
                <w:szCs w:val="20"/>
                <w:lang w:eastAsia="en-GB"/>
              </w:rPr>
              <w:t>Medicine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AEB15A1" w14:textId="776E2074" w:rsidR="006A4B8E" w:rsidRPr="007B06B3" w:rsidRDefault="006A4B8E" w:rsidP="006A4B8E">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4.0</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7A971BE" w14:textId="685F9764" w:rsidR="006A4B8E" w:rsidRPr="007B06B3" w:rsidRDefault="006A4B8E" w:rsidP="006A4B8E">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2.9</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4A7D6A77" w14:textId="456565D1" w:rsidR="006A4B8E" w:rsidRPr="007B06B3" w:rsidRDefault="006A4B8E" w:rsidP="006A4B8E">
            <w:pPr>
              <w:spacing w:after="0" w:line="240" w:lineRule="auto"/>
              <w:jc w:val="center"/>
              <w:rPr>
                <w:rFonts w:ascii="Arial" w:eastAsia="Times New Roman" w:hAnsi="Arial" w:cs="Arial"/>
                <w:b/>
                <w:bCs/>
                <w:i/>
                <w:iCs/>
                <w:color w:val="000000"/>
                <w:sz w:val="20"/>
                <w:szCs w:val="20"/>
                <w:lang w:eastAsia="en-GB"/>
              </w:rPr>
            </w:pPr>
            <w:r w:rsidRPr="007B06B3">
              <w:rPr>
                <w:rFonts w:ascii="Arial" w:hAnsi="Arial" w:cs="Arial"/>
                <w:b/>
                <w:bCs/>
                <w:sz w:val="20"/>
                <w:szCs w:val="20"/>
              </w:rPr>
              <w:t>7.0</w:t>
            </w:r>
          </w:p>
        </w:tc>
      </w:tr>
      <w:tr w:rsidR="006A4B8E" w:rsidRPr="007B06B3" w14:paraId="65F14C49"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center"/>
          </w:tcPr>
          <w:p w14:paraId="2CDAF1DC" w14:textId="77777777" w:rsidR="006A4B8E" w:rsidRPr="007B06B3" w:rsidRDefault="006A4B8E" w:rsidP="006A4B8E">
            <w:pPr>
              <w:spacing w:after="0" w:line="240" w:lineRule="auto"/>
              <w:jc w:val="center"/>
              <w:rPr>
                <w:rFonts w:ascii="Arial" w:eastAsia="Times New Roman" w:hAnsi="Arial" w:cs="Arial"/>
                <w:b/>
                <w:color w:val="000000"/>
                <w:sz w:val="20"/>
                <w:szCs w:val="20"/>
                <w:lang w:eastAsia="en-GB"/>
              </w:rPr>
            </w:pPr>
            <w:r w:rsidRPr="007B06B3">
              <w:rPr>
                <w:rFonts w:ascii="Arial" w:eastAsia="Times New Roman" w:hAnsi="Arial" w:cs="Arial"/>
                <w:color w:val="000000"/>
                <w:sz w:val="20"/>
                <w:szCs w:val="20"/>
                <w:lang w:eastAsia="en-GB"/>
              </w:rPr>
              <w:t>AAU</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67D4C8D" w14:textId="0626A58A" w:rsidR="006A4B8E" w:rsidRPr="007B06B3" w:rsidRDefault="006A4B8E" w:rsidP="006A4B8E">
            <w:pPr>
              <w:spacing w:after="0" w:line="240" w:lineRule="auto"/>
              <w:jc w:val="center"/>
              <w:rPr>
                <w:rFonts w:ascii="Arial" w:hAnsi="Arial" w:cs="Arial"/>
                <w:sz w:val="20"/>
                <w:szCs w:val="20"/>
              </w:rPr>
            </w:pPr>
            <w:r w:rsidRPr="007B06B3">
              <w:rPr>
                <w:rFonts w:ascii="Arial" w:hAnsi="Arial" w:cs="Arial"/>
                <w:sz w:val="20"/>
                <w:szCs w:val="20"/>
              </w:rPr>
              <w:t>6.1</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6FEEAFEF" w14:textId="62A4E9E5"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2.6</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32E0678D" w14:textId="09052299"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8.8</w:t>
            </w:r>
          </w:p>
        </w:tc>
      </w:tr>
      <w:tr w:rsidR="006A4B8E" w:rsidRPr="007B06B3" w14:paraId="1887B3E5"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center"/>
          </w:tcPr>
          <w:p w14:paraId="750871F8" w14:textId="401859B8" w:rsidR="006A4B8E" w:rsidRPr="007B06B3" w:rsidRDefault="006A4B8E" w:rsidP="006A4B8E">
            <w:pPr>
              <w:spacing w:after="0" w:line="240" w:lineRule="auto"/>
              <w:jc w:val="center"/>
              <w:rPr>
                <w:rFonts w:ascii="Arial" w:eastAsia="Times New Roman" w:hAnsi="Arial" w:cs="Arial"/>
                <w:b/>
                <w:color w:val="000000"/>
                <w:sz w:val="20"/>
                <w:szCs w:val="20"/>
                <w:lang w:eastAsia="en-GB"/>
              </w:rPr>
            </w:pPr>
            <w:r w:rsidRPr="007B06B3">
              <w:rPr>
                <w:rFonts w:ascii="Arial" w:eastAsia="Times New Roman" w:hAnsi="Arial" w:cs="Arial"/>
                <w:color w:val="000000"/>
                <w:sz w:val="20"/>
                <w:szCs w:val="20"/>
                <w:lang w:eastAsia="en-GB"/>
              </w:rPr>
              <w:t xml:space="preserve">Charnley </w:t>
            </w:r>
          </w:p>
        </w:tc>
        <w:tc>
          <w:tcPr>
            <w:tcW w:w="2267" w:type="dxa"/>
            <w:tcBorders>
              <w:top w:val="nil"/>
              <w:left w:val="single" w:sz="18" w:space="0" w:color="000000"/>
              <w:bottom w:val="single" w:sz="4" w:space="0" w:color="auto"/>
              <w:right w:val="single" w:sz="18" w:space="0" w:color="000000"/>
            </w:tcBorders>
            <w:shd w:val="clear" w:color="000000" w:fill="D9D9D9"/>
            <w:noWrap/>
          </w:tcPr>
          <w:p w14:paraId="6009350C" w14:textId="7C5353C6"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4.6</w:t>
            </w:r>
          </w:p>
        </w:tc>
        <w:tc>
          <w:tcPr>
            <w:tcW w:w="2267" w:type="dxa"/>
            <w:tcBorders>
              <w:top w:val="nil"/>
              <w:left w:val="single" w:sz="18" w:space="0" w:color="000000"/>
              <w:bottom w:val="single" w:sz="4" w:space="0" w:color="auto"/>
              <w:right w:val="single" w:sz="18" w:space="0" w:color="000000"/>
            </w:tcBorders>
            <w:shd w:val="clear" w:color="000000" w:fill="D9D9D9"/>
            <w:noWrap/>
          </w:tcPr>
          <w:p w14:paraId="5C44F43C" w14:textId="5F9F3C25"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2.8</w:t>
            </w:r>
          </w:p>
        </w:tc>
        <w:tc>
          <w:tcPr>
            <w:tcW w:w="2267" w:type="dxa"/>
            <w:tcBorders>
              <w:top w:val="nil"/>
              <w:left w:val="single" w:sz="18" w:space="0" w:color="000000"/>
              <w:bottom w:val="single" w:sz="4" w:space="0" w:color="auto"/>
              <w:right w:val="single" w:sz="18" w:space="0" w:color="000000"/>
            </w:tcBorders>
            <w:shd w:val="clear" w:color="000000" w:fill="D0CECE"/>
            <w:noWrap/>
          </w:tcPr>
          <w:p w14:paraId="5C5A8AB2" w14:textId="17801601"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7.4</w:t>
            </w:r>
          </w:p>
        </w:tc>
      </w:tr>
      <w:tr w:rsidR="006A4B8E" w:rsidRPr="007B06B3" w14:paraId="78176A35"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tcPr>
          <w:p w14:paraId="290D1AE1" w14:textId="77777777" w:rsidR="006A4B8E" w:rsidRPr="007B06B3" w:rsidRDefault="006A4B8E" w:rsidP="006A4B8E">
            <w:pPr>
              <w:spacing w:after="0" w:line="240" w:lineRule="auto"/>
              <w:jc w:val="center"/>
              <w:rPr>
                <w:rFonts w:ascii="Arial" w:eastAsia="Times New Roman" w:hAnsi="Arial" w:cs="Arial"/>
                <w:b/>
                <w:i/>
                <w:color w:val="000000"/>
                <w:sz w:val="20"/>
                <w:szCs w:val="20"/>
                <w:lang w:eastAsia="en-GB"/>
              </w:rPr>
            </w:pPr>
            <w:r w:rsidRPr="007B06B3">
              <w:rPr>
                <w:rFonts w:ascii="Arial" w:eastAsia="Times New Roman" w:hAnsi="Arial" w:cs="Arial"/>
                <w:b/>
                <w:i/>
                <w:color w:val="000000"/>
                <w:sz w:val="20"/>
                <w:szCs w:val="20"/>
                <w:lang w:eastAsia="en-GB"/>
              </w:rPr>
              <w:t>UEC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6CCF689" w14:textId="420D1905"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5.4</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301AECF1" w14:textId="2375EA1A"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2.7</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400A71B" w14:textId="63269582"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8.1</w:t>
            </w:r>
          </w:p>
        </w:tc>
      </w:tr>
      <w:tr w:rsidR="006A4B8E" w:rsidRPr="007B06B3" w14:paraId="3E9B03F5" w14:textId="77777777" w:rsidTr="007154A4">
        <w:trPr>
          <w:trHeight w:val="170"/>
        </w:trPr>
        <w:tc>
          <w:tcPr>
            <w:tcW w:w="2266" w:type="dxa"/>
            <w:tcBorders>
              <w:top w:val="single" w:sz="18" w:space="0" w:color="000000"/>
              <w:left w:val="single" w:sz="18" w:space="0" w:color="000000"/>
              <w:bottom w:val="single" w:sz="4" w:space="0" w:color="auto"/>
              <w:right w:val="single" w:sz="18" w:space="0" w:color="000000"/>
            </w:tcBorders>
            <w:noWrap/>
            <w:vAlign w:val="bottom"/>
          </w:tcPr>
          <w:p w14:paraId="35526452" w14:textId="77777777"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Birthing Unit</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34DF7B60" w14:textId="4E2CB8FF" w:rsidR="006A4B8E" w:rsidRPr="007B06B3" w:rsidRDefault="006A4B8E" w:rsidP="006A4B8E">
            <w:pPr>
              <w:spacing w:after="0" w:line="240" w:lineRule="auto"/>
              <w:jc w:val="center"/>
              <w:rPr>
                <w:rFonts w:ascii="Arial" w:hAnsi="Arial" w:cs="Arial"/>
                <w:sz w:val="20"/>
                <w:szCs w:val="20"/>
              </w:rPr>
            </w:pPr>
            <w:r w:rsidRPr="007B06B3">
              <w:rPr>
                <w:rFonts w:ascii="Arial" w:hAnsi="Arial" w:cs="Arial"/>
                <w:sz w:val="20"/>
                <w:szCs w:val="20"/>
              </w:rPr>
              <w:t>13.0</w:t>
            </w:r>
          </w:p>
        </w:tc>
        <w:tc>
          <w:tcPr>
            <w:tcW w:w="2267" w:type="dxa"/>
            <w:tcBorders>
              <w:top w:val="single" w:sz="18" w:space="0" w:color="000000"/>
              <w:left w:val="single" w:sz="18" w:space="0" w:color="000000"/>
              <w:bottom w:val="single" w:sz="4" w:space="0" w:color="auto"/>
              <w:right w:val="single" w:sz="18" w:space="0" w:color="000000"/>
            </w:tcBorders>
            <w:shd w:val="clear" w:color="000000" w:fill="D9D9D9"/>
            <w:noWrap/>
          </w:tcPr>
          <w:p w14:paraId="7C8CE6B1" w14:textId="418CB920"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7.1</w:t>
            </w:r>
          </w:p>
        </w:tc>
        <w:tc>
          <w:tcPr>
            <w:tcW w:w="2267" w:type="dxa"/>
            <w:tcBorders>
              <w:top w:val="single" w:sz="18" w:space="0" w:color="000000"/>
              <w:left w:val="single" w:sz="18" w:space="0" w:color="000000"/>
              <w:bottom w:val="single" w:sz="4" w:space="0" w:color="auto"/>
              <w:right w:val="single" w:sz="18" w:space="0" w:color="000000"/>
            </w:tcBorders>
            <w:shd w:val="clear" w:color="000000" w:fill="D0CECE"/>
            <w:noWrap/>
          </w:tcPr>
          <w:p w14:paraId="447B05D1" w14:textId="7257160E"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20.1</w:t>
            </w:r>
          </w:p>
        </w:tc>
      </w:tr>
      <w:tr w:rsidR="006A4B8E" w:rsidRPr="007B06B3" w14:paraId="5C08FD7A"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BF3B075" w14:textId="0136BEB1"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Chamberlen </w:t>
            </w:r>
          </w:p>
        </w:tc>
        <w:tc>
          <w:tcPr>
            <w:tcW w:w="2267" w:type="dxa"/>
            <w:tcBorders>
              <w:top w:val="nil"/>
              <w:left w:val="single" w:sz="18" w:space="0" w:color="000000"/>
              <w:bottom w:val="single" w:sz="4" w:space="0" w:color="auto"/>
              <w:right w:val="single" w:sz="18" w:space="0" w:color="000000"/>
            </w:tcBorders>
            <w:shd w:val="clear" w:color="000000" w:fill="D9D9D9"/>
            <w:noWrap/>
          </w:tcPr>
          <w:p w14:paraId="2EC56C45" w14:textId="26C05C76"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7.4</w:t>
            </w:r>
          </w:p>
        </w:tc>
        <w:tc>
          <w:tcPr>
            <w:tcW w:w="2267" w:type="dxa"/>
            <w:tcBorders>
              <w:top w:val="nil"/>
              <w:left w:val="single" w:sz="18" w:space="0" w:color="000000"/>
              <w:bottom w:val="single" w:sz="4" w:space="0" w:color="auto"/>
              <w:right w:val="single" w:sz="18" w:space="0" w:color="000000"/>
            </w:tcBorders>
            <w:shd w:val="clear" w:color="000000" w:fill="D9D9D9"/>
            <w:noWrap/>
          </w:tcPr>
          <w:p w14:paraId="66D75EE4" w14:textId="1135C302"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2.1</w:t>
            </w:r>
          </w:p>
        </w:tc>
        <w:tc>
          <w:tcPr>
            <w:tcW w:w="2267" w:type="dxa"/>
            <w:tcBorders>
              <w:top w:val="nil"/>
              <w:left w:val="single" w:sz="18" w:space="0" w:color="000000"/>
              <w:bottom w:val="single" w:sz="4" w:space="0" w:color="auto"/>
              <w:right w:val="single" w:sz="18" w:space="0" w:color="000000"/>
            </w:tcBorders>
            <w:shd w:val="clear" w:color="000000" w:fill="D0CECE"/>
            <w:noWrap/>
          </w:tcPr>
          <w:p w14:paraId="6F604A22" w14:textId="0F8485D9"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9.5</w:t>
            </w:r>
          </w:p>
        </w:tc>
      </w:tr>
      <w:tr w:rsidR="006A4B8E" w:rsidRPr="007B06B3" w14:paraId="1906128F"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5FF1065D" w14:textId="2C3E2D6C"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Dolphin </w:t>
            </w:r>
          </w:p>
        </w:tc>
        <w:tc>
          <w:tcPr>
            <w:tcW w:w="2267" w:type="dxa"/>
            <w:tcBorders>
              <w:top w:val="nil"/>
              <w:left w:val="single" w:sz="18" w:space="0" w:color="000000"/>
              <w:bottom w:val="single" w:sz="4" w:space="0" w:color="auto"/>
              <w:right w:val="single" w:sz="18" w:space="0" w:color="000000"/>
            </w:tcBorders>
            <w:shd w:val="clear" w:color="000000" w:fill="D9D9D9"/>
            <w:noWrap/>
          </w:tcPr>
          <w:p w14:paraId="3C8DFDD8" w14:textId="72A2FB64"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8.9</w:t>
            </w:r>
          </w:p>
        </w:tc>
        <w:tc>
          <w:tcPr>
            <w:tcW w:w="2267" w:type="dxa"/>
            <w:tcBorders>
              <w:top w:val="nil"/>
              <w:left w:val="single" w:sz="18" w:space="0" w:color="000000"/>
              <w:bottom w:val="single" w:sz="4" w:space="0" w:color="auto"/>
              <w:right w:val="single" w:sz="18" w:space="0" w:color="000000"/>
            </w:tcBorders>
            <w:shd w:val="clear" w:color="000000" w:fill="D9D9D9"/>
            <w:noWrap/>
          </w:tcPr>
          <w:p w14:paraId="2E501C10" w14:textId="364D2E54"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2.5</w:t>
            </w:r>
          </w:p>
        </w:tc>
        <w:tc>
          <w:tcPr>
            <w:tcW w:w="2267" w:type="dxa"/>
            <w:tcBorders>
              <w:top w:val="nil"/>
              <w:left w:val="single" w:sz="18" w:space="0" w:color="000000"/>
              <w:bottom w:val="single" w:sz="4" w:space="0" w:color="auto"/>
              <w:right w:val="single" w:sz="18" w:space="0" w:color="000000"/>
            </w:tcBorders>
            <w:shd w:val="clear" w:color="000000" w:fill="D0CECE"/>
            <w:noWrap/>
          </w:tcPr>
          <w:p w14:paraId="52516E6C" w14:textId="28CF4B02"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11.4</w:t>
            </w:r>
          </w:p>
        </w:tc>
      </w:tr>
      <w:tr w:rsidR="006A4B8E" w:rsidRPr="007B06B3" w14:paraId="29010159"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1902ABF4" w14:textId="686146A6"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Labour </w:t>
            </w:r>
          </w:p>
        </w:tc>
        <w:tc>
          <w:tcPr>
            <w:tcW w:w="2267" w:type="dxa"/>
            <w:tcBorders>
              <w:top w:val="nil"/>
              <w:left w:val="single" w:sz="18" w:space="0" w:color="000000"/>
              <w:bottom w:val="single" w:sz="4" w:space="0" w:color="auto"/>
              <w:right w:val="single" w:sz="18" w:space="0" w:color="000000"/>
            </w:tcBorders>
            <w:shd w:val="clear" w:color="000000" w:fill="D9D9D9"/>
            <w:noWrap/>
          </w:tcPr>
          <w:p w14:paraId="168B655E" w14:textId="6BE50666"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25.8</w:t>
            </w:r>
          </w:p>
        </w:tc>
        <w:tc>
          <w:tcPr>
            <w:tcW w:w="2267" w:type="dxa"/>
            <w:tcBorders>
              <w:top w:val="nil"/>
              <w:left w:val="single" w:sz="18" w:space="0" w:color="000000"/>
              <w:bottom w:val="single" w:sz="4" w:space="0" w:color="auto"/>
              <w:right w:val="single" w:sz="18" w:space="0" w:color="000000"/>
            </w:tcBorders>
            <w:shd w:val="clear" w:color="000000" w:fill="D9D9D9"/>
            <w:noWrap/>
          </w:tcPr>
          <w:p w14:paraId="7CBC83B0" w14:textId="6A9E9150"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6.6</w:t>
            </w:r>
          </w:p>
        </w:tc>
        <w:tc>
          <w:tcPr>
            <w:tcW w:w="2267" w:type="dxa"/>
            <w:tcBorders>
              <w:top w:val="nil"/>
              <w:left w:val="single" w:sz="18" w:space="0" w:color="000000"/>
              <w:bottom w:val="single" w:sz="4" w:space="0" w:color="auto"/>
              <w:right w:val="single" w:sz="18" w:space="0" w:color="000000"/>
            </w:tcBorders>
            <w:shd w:val="clear" w:color="000000" w:fill="D0CECE"/>
            <w:noWrap/>
          </w:tcPr>
          <w:p w14:paraId="6714EE25" w14:textId="1AE796AF"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32.4</w:t>
            </w:r>
          </w:p>
        </w:tc>
      </w:tr>
      <w:tr w:rsidR="006A4B8E" w:rsidRPr="007B06B3" w14:paraId="720C9B34"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269D6922" w14:textId="76E03F68"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Neo-Natal </w:t>
            </w:r>
          </w:p>
        </w:tc>
        <w:tc>
          <w:tcPr>
            <w:tcW w:w="2267" w:type="dxa"/>
            <w:tcBorders>
              <w:top w:val="nil"/>
              <w:left w:val="single" w:sz="18" w:space="0" w:color="000000"/>
              <w:bottom w:val="single" w:sz="4" w:space="0" w:color="auto"/>
              <w:right w:val="single" w:sz="18" w:space="0" w:color="000000"/>
            </w:tcBorders>
            <w:shd w:val="clear" w:color="000000" w:fill="D9D9D9"/>
            <w:noWrap/>
          </w:tcPr>
          <w:p w14:paraId="7FD700DC" w14:textId="4768D00D"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11.8</w:t>
            </w:r>
          </w:p>
        </w:tc>
        <w:tc>
          <w:tcPr>
            <w:tcW w:w="2267" w:type="dxa"/>
            <w:tcBorders>
              <w:top w:val="nil"/>
              <w:left w:val="single" w:sz="18" w:space="0" w:color="000000"/>
              <w:bottom w:val="single" w:sz="4" w:space="0" w:color="auto"/>
              <w:right w:val="single" w:sz="18" w:space="0" w:color="000000"/>
            </w:tcBorders>
            <w:shd w:val="clear" w:color="000000" w:fill="D9D9D9"/>
            <w:noWrap/>
          </w:tcPr>
          <w:p w14:paraId="7648EB02" w14:textId="469CDB5A"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2.2</w:t>
            </w:r>
          </w:p>
        </w:tc>
        <w:tc>
          <w:tcPr>
            <w:tcW w:w="2267" w:type="dxa"/>
            <w:tcBorders>
              <w:top w:val="nil"/>
              <w:left w:val="single" w:sz="18" w:space="0" w:color="000000"/>
              <w:bottom w:val="single" w:sz="4" w:space="0" w:color="auto"/>
              <w:right w:val="single" w:sz="18" w:space="0" w:color="000000"/>
            </w:tcBorders>
            <w:shd w:val="clear" w:color="000000" w:fill="D0CECE"/>
            <w:noWrap/>
          </w:tcPr>
          <w:p w14:paraId="666CABED" w14:textId="01645DE7"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13.9</w:t>
            </w:r>
          </w:p>
        </w:tc>
      </w:tr>
      <w:tr w:rsidR="006A4B8E" w:rsidRPr="007B06B3" w14:paraId="41C615CD" w14:textId="77777777" w:rsidTr="007154A4">
        <w:trPr>
          <w:trHeight w:val="170"/>
        </w:trPr>
        <w:tc>
          <w:tcPr>
            <w:tcW w:w="2266" w:type="dxa"/>
            <w:tcBorders>
              <w:top w:val="nil"/>
              <w:left w:val="single" w:sz="18" w:space="0" w:color="000000"/>
              <w:bottom w:val="single" w:sz="4" w:space="0" w:color="auto"/>
              <w:right w:val="single" w:sz="18" w:space="0" w:color="000000"/>
            </w:tcBorders>
            <w:noWrap/>
            <w:vAlign w:val="bottom"/>
          </w:tcPr>
          <w:p w14:paraId="68AB209C" w14:textId="13ED6CEC" w:rsidR="006A4B8E" w:rsidRPr="007B06B3" w:rsidRDefault="006A4B8E" w:rsidP="006A4B8E">
            <w:pPr>
              <w:spacing w:after="0" w:line="240" w:lineRule="auto"/>
              <w:jc w:val="center"/>
              <w:rPr>
                <w:rFonts w:ascii="Arial" w:eastAsia="Times New Roman" w:hAnsi="Arial" w:cs="Arial"/>
                <w:color w:val="000000"/>
                <w:sz w:val="20"/>
                <w:szCs w:val="20"/>
                <w:lang w:eastAsia="en-GB"/>
              </w:rPr>
            </w:pPr>
            <w:r w:rsidRPr="007B06B3">
              <w:rPr>
                <w:rFonts w:ascii="Arial" w:hAnsi="Arial" w:cs="Arial"/>
                <w:sz w:val="20"/>
                <w:szCs w:val="20"/>
              </w:rPr>
              <w:t xml:space="preserve">Samson </w:t>
            </w:r>
          </w:p>
        </w:tc>
        <w:tc>
          <w:tcPr>
            <w:tcW w:w="2267" w:type="dxa"/>
            <w:tcBorders>
              <w:top w:val="nil"/>
              <w:left w:val="single" w:sz="18" w:space="0" w:color="000000"/>
              <w:bottom w:val="single" w:sz="4" w:space="0" w:color="auto"/>
              <w:right w:val="single" w:sz="18" w:space="0" w:color="000000"/>
            </w:tcBorders>
            <w:shd w:val="clear" w:color="000000" w:fill="D9D9D9"/>
            <w:noWrap/>
          </w:tcPr>
          <w:p w14:paraId="080EF14B" w14:textId="124D22F3"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2.8</w:t>
            </w:r>
          </w:p>
        </w:tc>
        <w:tc>
          <w:tcPr>
            <w:tcW w:w="2267" w:type="dxa"/>
            <w:tcBorders>
              <w:top w:val="nil"/>
              <w:left w:val="single" w:sz="18" w:space="0" w:color="000000"/>
              <w:bottom w:val="single" w:sz="4" w:space="0" w:color="auto"/>
              <w:right w:val="single" w:sz="18" w:space="0" w:color="000000"/>
            </w:tcBorders>
            <w:shd w:val="clear" w:color="000000" w:fill="D9D9D9"/>
            <w:noWrap/>
          </w:tcPr>
          <w:p w14:paraId="404B7DF2" w14:textId="75228FE7"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3.4</w:t>
            </w:r>
          </w:p>
        </w:tc>
        <w:tc>
          <w:tcPr>
            <w:tcW w:w="2267" w:type="dxa"/>
            <w:tcBorders>
              <w:top w:val="nil"/>
              <w:left w:val="single" w:sz="18" w:space="0" w:color="000000"/>
              <w:bottom w:val="single" w:sz="4" w:space="0" w:color="auto"/>
              <w:right w:val="single" w:sz="18" w:space="0" w:color="000000"/>
            </w:tcBorders>
            <w:shd w:val="clear" w:color="000000" w:fill="D0CECE"/>
            <w:noWrap/>
          </w:tcPr>
          <w:p w14:paraId="2B2B937E" w14:textId="3A7CE8FD" w:rsidR="006A4B8E" w:rsidRPr="007B06B3" w:rsidRDefault="006A4B8E" w:rsidP="006A4B8E">
            <w:pPr>
              <w:spacing w:after="0"/>
              <w:jc w:val="center"/>
              <w:rPr>
                <w:rFonts w:ascii="Arial" w:hAnsi="Arial" w:cs="Arial"/>
                <w:sz w:val="20"/>
                <w:szCs w:val="20"/>
              </w:rPr>
            </w:pPr>
            <w:r w:rsidRPr="007B06B3">
              <w:rPr>
                <w:rFonts w:ascii="Arial" w:hAnsi="Arial" w:cs="Arial"/>
                <w:sz w:val="20"/>
                <w:szCs w:val="20"/>
              </w:rPr>
              <w:t>6.2</w:t>
            </w:r>
          </w:p>
        </w:tc>
      </w:tr>
      <w:tr w:rsidR="006A4B8E" w:rsidRPr="007B06B3" w14:paraId="4A9F7B39" w14:textId="77777777" w:rsidTr="007154A4">
        <w:trPr>
          <w:trHeight w:val="170"/>
        </w:trPr>
        <w:tc>
          <w:tcPr>
            <w:tcW w:w="2266" w:type="dxa"/>
            <w:tcBorders>
              <w:top w:val="nil"/>
              <w:left w:val="single" w:sz="18" w:space="0" w:color="000000"/>
              <w:bottom w:val="single" w:sz="18" w:space="0" w:color="000000"/>
              <w:right w:val="single" w:sz="18" w:space="0" w:color="000000"/>
            </w:tcBorders>
            <w:shd w:val="clear" w:color="auto" w:fill="4472C4" w:themeFill="accent1"/>
            <w:noWrap/>
            <w:vAlign w:val="center"/>
            <w:hideMark/>
          </w:tcPr>
          <w:p w14:paraId="673F28D2" w14:textId="77777777" w:rsidR="006A4B8E" w:rsidRPr="007B06B3" w:rsidRDefault="006A4B8E" w:rsidP="006A4B8E">
            <w:pPr>
              <w:spacing w:after="0" w:line="240" w:lineRule="auto"/>
              <w:jc w:val="center"/>
              <w:rPr>
                <w:rFonts w:ascii="Arial" w:eastAsia="Times New Roman" w:hAnsi="Arial" w:cs="Arial"/>
                <w:b/>
                <w:i/>
                <w:color w:val="000000"/>
                <w:sz w:val="20"/>
                <w:szCs w:val="20"/>
                <w:lang w:eastAsia="en-GB"/>
              </w:rPr>
            </w:pPr>
            <w:r w:rsidRPr="007B06B3">
              <w:rPr>
                <w:rFonts w:ascii="Arial" w:eastAsia="Times New Roman" w:hAnsi="Arial" w:cs="Arial"/>
                <w:b/>
                <w:i/>
                <w:color w:val="000000"/>
                <w:sz w:val="20"/>
                <w:szCs w:val="20"/>
                <w:lang w:eastAsia="en-GB"/>
              </w:rPr>
              <w:t>CHAWS Total</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D0DE7D6" w14:textId="74389C0F"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8.7</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1983FDFF" w14:textId="23B66B43"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3.4</w:t>
            </w:r>
          </w:p>
        </w:tc>
        <w:tc>
          <w:tcPr>
            <w:tcW w:w="2267" w:type="dxa"/>
            <w:tcBorders>
              <w:top w:val="single" w:sz="4" w:space="0" w:color="auto"/>
              <w:left w:val="single" w:sz="18" w:space="0" w:color="000000"/>
              <w:bottom w:val="single" w:sz="18" w:space="0" w:color="000000"/>
              <w:right w:val="single" w:sz="18" w:space="0" w:color="000000"/>
            </w:tcBorders>
            <w:shd w:val="clear" w:color="auto" w:fill="4472C4" w:themeFill="accent1"/>
            <w:noWrap/>
          </w:tcPr>
          <w:p w14:paraId="77B3DFD9" w14:textId="5F202AD0" w:rsidR="006A4B8E" w:rsidRPr="007B06B3" w:rsidRDefault="006A4B8E" w:rsidP="006A4B8E">
            <w:pPr>
              <w:spacing w:after="0" w:line="240" w:lineRule="auto"/>
              <w:jc w:val="center"/>
              <w:rPr>
                <w:rFonts w:ascii="Arial" w:eastAsia="Times New Roman" w:hAnsi="Arial" w:cs="Arial"/>
                <w:b/>
                <w:bCs/>
                <w:i/>
                <w:color w:val="000000"/>
                <w:sz w:val="20"/>
                <w:szCs w:val="20"/>
                <w:lang w:eastAsia="en-GB"/>
              </w:rPr>
            </w:pPr>
            <w:r w:rsidRPr="007B06B3">
              <w:rPr>
                <w:rFonts w:ascii="Arial" w:hAnsi="Arial" w:cs="Arial"/>
                <w:b/>
                <w:bCs/>
                <w:sz w:val="20"/>
                <w:szCs w:val="20"/>
              </w:rPr>
              <w:t>12.0</w:t>
            </w:r>
          </w:p>
        </w:tc>
      </w:tr>
    </w:tbl>
    <w:p w14:paraId="549EE8D6" w14:textId="77777777" w:rsidR="00633571" w:rsidRPr="007B06B3" w:rsidRDefault="00633571" w:rsidP="00971145">
      <w:pPr>
        <w:spacing w:after="0" w:line="240" w:lineRule="auto"/>
        <w:rPr>
          <w:rFonts w:ascii="Arial" w:eastAsia="Times New Roman" w:hAnsi="Arial" w:cs="Arial"/>
          <w:b/>
          <w:i/>
          <w:color w:val="000000"/>
          <w:lang w:eastAsia="en-GB"/>
        </w:rPr>
      </w:pPr>
    </w:p>
    <w:p w14:paraId="55ADEE4D" w14:textId="77777777" w:rsidR="00420F43" w:rsidRPr="007B06B3" w:rsidRDefault="00420F43" w:rsidP="00971145">
      <w:pPr>
        <w:spacing w:after="0" w:line="240" w:lineRule="auto"/>
        <w:rPr>
          <w:rFonts w:ascii="Arial" w:eastAsia="Times New Roman" w:hAnsi="Arial" w:cs="Arial"/>
          <w:b/>
          <w:color w:val="005EB8"/>
          <w:lang w:eastAsia="en-GB"/>
        </w:rPr>
      </w:pPr>
    </w:p>
    <w:p w14:paraId="13402A66" w14:textId="4ACA806F" w:rsidR="00BF75A2" w:rsidRPr="007B06B3" w:rsidRDefault="00BF75A2" w:rsidP="00971145">
      <w:pPr>
        <w:spacing w:after="0" w:line="240" w:lineRule="auto"/>
        <w:rPr>
          <w:rFonts w:ascii="Arial" w:eastAsia="Times New Roman" w:hAnsi="Arial" w:cs="Arial"/>
          <w:b/>
          <w:i/>
          <w:color w:val="005EB8"/>
          <w:sz w:val="18"/>
          <w:szCs w:val="18"/>
          <w:lang w:eastAsia="en-GB"/>
        </w:rPr>
      </w:pPr>
      <w:r w:rsidRPr="007B06B3">
        <w:rPr>
          <w:rFonts w:ascii="Arial" w:eastAsia="Times New Roman" w:hAnsi="Arial" w:cs="Arial"/>
          <w:b/>
          <w:color w:val="005EB8"/>
          <w:lang w:eastAsia="en-GB"/>
        </w:rPr>
        <w:lastRenderedPageBreak/>
        <w:t>Appendix</w:t>
      </w:r>
      <w:r w:rsidR="00971145" w:rsidRPr="007B06B3">
        <w:rPr>
          <w:rFonts w:ascii="Arial" w:eastAsia="Times New Roman" w:hAnsi="Arial" w:cs="Arial"/>
          <w:b/>
          <w:color w:val="005EB8"/>
          <w:lang w:eastAsia="en-GB"/>
        </w:rPr>
        <w:t xml:space="preserve"> </w:t>
      </w:r>
      <w:r w:rsidR="00750EC6" w:rsidRPr="007B06B3">
        <w:rPr>
          <w:rFonts w:ascii="Arial" w:eastAsia="Times New Roman" w:hAnsi="Arial" w:cs="Arial"/>
          <w:b/>
          <w:color w:val="005EB8"/>
          <w:lang w:eastAsia="en-GB"/>
        </w:rPr>
        <w:t>4</w:t>
      </w:r>
      <w:r w:rsidRPr="007B06B3">
        <w:rPr>
          <w:rFonts w:ascii="Arial" w:eastAsia="Times New Roman" w:hAnsi="Arial" w:cs="Arial"/>
          <w:b/>
          <w:color w:val="005EB8"/>
          <w:lang w:eastAsia="en-GB"/>
        </w:rPr>
        <w:t xml:space="preserve">. </w:t>
      </w:r>
      <w:r w:rsidR="00971145" w:rsidRPr="007B06B3">
        <w:rPr>
          <w:rFonts w:ascii="Arial" w:eastAsia="Times New Roman" w:hAnsi="Arial" w:cs="Arial"/>
          <w:b/>
          <w:color w:val="005EB8"/>
          <w:lang w:eastAsia="en-GB"/>
        </w:rPr>
        <w:t>Nursing Red Flags (NICE 2014)</w:t>
      </w:r>
      <w:r w:rsidR="00C27C2E" w:rsidRPr="007B06B3">
        <w:rPr>
          <w:rFonts w:ascii="Arial" w:eastAsia="Times New Roman" w:hAnsi="Arial" w:cs="Arial"/>
          <w:b/>
          <w:color w:val="005EB8"/>
          <w:lang w:eastAsia="en-GB"/>
        </w:rPr>
        <w:t xml:space="preserve">, </w:t>
      </w:r>
      <w:r w:rsidR="00750EC6" w:rsidRPr="007B06B3">
        <w:rPr>
          <w:rFonts w:ascii="Arial" w:eastAsia="Times New Roman" w:hAnsi="Arial" w:cs="Arial"/>
          <w:b/>
          <w:color w:val="005EB8"/>
          <w:lang w:eastAsia="en-GB"/>
        </w:rPr>
        <w:t>Incident Reports</w:t>
      </w:r>
      <w:r w:rsidR="00466834" w:rsidRPr="007B06B3">
        <w:rPr>
          <w:rFonts w:ascii="Arial" w:eastAsia="Times New Roman" w:hAnsi="Arial" w:cs="Arial"/>
          <w:b/>
          <w:color w:val="005EB8"/>
          <w:lang w:eastAsia="en-GB"/>
        </w:rPr>
        <w:t xml:space="preserve"> </w:t>
      </w:r>
      <w:r w:rsidR="00F3354C" w:rsidRPr="007B06B3">
        <w:rPr>
          <w:rFonts w:ascii="Arial" w:eastAsia="Times New Roman" w:hAnsi="Arial" w:cs="Arial"/>
          <w:b/>
          <w:color w:val="005EB8"/>
          <w:szCs w:val="18"/>
          <w:lang w:eastAsia="en-GB"/>
        </w:rPr>
        <w:t>and</w:t>
      </w:r>
      <w:r w:rsidR="00750EC6" w:rsidRPr="007B06B3">
        <w:rPr>
          <w:rFonts w:ascii="Arial" w:eastAsia="Times New Roman" w:hAnsi="Arial" w:cs="Arial"/>
          <w:b/>
          <w:color w:val="005EB8"/>
          <w:szCs w:val="18"/>
          <w:lang w:eastAsia="en-GB"/>
        </w:rPr>
        <w:t xml:space="preserve"> Trend Data</w:t>
      </w:r>
    </w:p>
    <w:p w14:paraId="1FA7578F" w14:textId="77777777" w:rsidR="00C90B97" w:rsidRPr="007B06B3" w:rsidRDefault="00C90B97" w:rsidP="00971145">
      <w:pPr>
        <w:spacing w:after="0" w:line="240" w:lineRule="auto"/>
        <w:rPr>
          <w:rFonts w:ascii="Arial" w:hAnsi="Arial" w:cs="Arial"/>
          <w:color w:val="005EB8"/>
        </w:rPr>
      </w:pPr>
    </w:p>
    <w:p w14:paraId="71D6CDE1" w14:textId="77777777" w:rsidR="00C90B97" w:rsidRPr="007B06B3" w:rsidRDefault="00C90B97" w:rsidP="00971145">
      <w:pPr>
        <w:spacing w:after="0" w:line="240" w:lineRule="auto"/>
        <w:rPr>
          <w:rFonts w:ascii="Arial" w:hAnsi="Arial" w:cs="Arial"/>
          <w:color w:val="005EB8"/>
        </w:rPr>
      </w:pPr>
      <w:r w:rsidRPr="007B06B3">
        <w:rPr>
          <w:rFonts w:ascii="Arial" w:hAnsi="Arial" w:cs="Arial"/>
          <w:noProof/>
        </w:rPr>
        <w:drawing>
          <wp:inline distT="0" distB="0" distL="0" distR="0" wp14:anchorId="572BB343" wp14:editId="6211F2D6">
            <wp:extent cx="5111549" cy="383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86373" cy="3816509"/>
                    </a:xfrm>
                    <a:prstGeom prst="rect">
                      <a:avLst/>
                    </a:prstGeom>
                  </pic:spPr>
                </pic:pic>
              </a:graphicData>
            </a:graphic>
          </wp:inline>
        </w:drawing>
      </w:r>
    </w:p>
    <w:p w14:paraId="58A53523" w14:textId="77777777" w:rsidR="00F32360" w:rsidRPr="007B06B3" w:rsidRDefault="00F32360" w:rsidP="00971145">
      <w:pPr>
        <w:spacing w:after="0" w:line="240" w:lineRule="auto"/>
        <w:rPr>
          <w:rFonts w:ascii="Arial" w:hAnsi="Arial" w:cs="Arial"/>
          <w:color w:val="005EB8"/>
        </w:rPr>
      </w:pPr>
    </w:p>
    <w:p w14:paraId="54E37B06" w14:textId="19C848E8" w:rsidR="002F35EC" w:rsidRPr="007B06B3" w:rsidRDefault="002F35EC" w:rsidP="002F35EC">
      <w:pPr>
        <w:spacing w:line="240" w:lineRule="auto"/>
        <w:rPr>
          <w:rFonts w:ascii="Arial" w:hAnsi="Arial" w:cs="Arial"/>
          <w:b/>
          <w:color w:val="005EB8"/>
          <w:lang w:eastAsia="en-GB"/>
        </w:rPr>
      </w:pPr>
      <w:bookmarkStart w:id="14" w:name="_Hlk166577232"/>
      <w:r w:rsidRPr="007B06B3">
        <w:rPr>
          <w:rFonts w:ascii="Arial" w:hAnsi="Arial" w:cs="Arial"/>
          <w:b/>
          <w:color w:val="005EB8"/>
          <w:lang w:eastAsia="en-GB"/>
        </w:rPr>
        <w:t>Staffing Red Flags and Trend Data</w:t>
      </w:r>
    </w:p>
    <w:p w14:paraId="5677121D" w14:textId="587107DE" w:rsidR="00317DE5" w:rsidRPr="007B06B3" w:rsidRDefault="003A275C" w:rsidP="007E587A">
      <w:pPr>
        <w:spacing w:after="0"/>
        <w:rPr>
          <w:rFonts w:ascii="Arial" w:hAnsi="Arial" w:cs="Arial"/>
          <w:b/>
          <w:color w:val="005EB8"/>
        </w:rPr>
      </w:pPr>
      <w:r w:rsidRPr="007B06B3">
        <w:rPr>
          <w:rFonts w:ascii="Arial" w:hAnsi="Arial" w:cs="Arial"/>
          <w:b/>
          <w:color w:val="005EB8"/>
        </w:rPr>
        <w:t xml:space="preserve">Table 1. Occasions when </w:t>
      </w:r>
      <w:bookmarkEnd w:id="14"/>
      <w:r w:rsidRPr="007B06B3">
        <w:rPr>
          <w:rFonts w:ascii="Arial" w:hAnsi="Arial" w:cs="Arial"/>
          <w:b/>
          <w:color w:val="005EB8"/>
        </w:rPr>
        <w:t>registered staffing fell below 75% of standard template</w:t>
      </w:r>
      <w:r w:rsidR="00CE13D7" w:rsidRPr="007B06B3">
        <w:rPr>
          <w:rFonts w:ascii="Arial" w:hAnsi="Arial" w:cs="Arial"/>
          <w:b/>
          <w:color w:val="005EB8"/>
        </w:rPr>
        <w:t xml:space="preserve"> Dec</w:t>
      </w:r>
      <w:r w:rsidR="00206CA8" w:rsidRPr="007B06B3">
        <w:rPr>
          <w:rFonts w:ascii="Arial" w:hAnsi="Arial" w:cs="Arial"/>
          <w:b/>
          <w:color w:val="005EB8"/>
        </w:rPr>
        <w:t>-</w:t>
      </w:r>
      <w:r w:rsidR="009D341F" w:rsidRPr="007B06B3">
        <w:rPr>
          <w:rFonts w:ascii="Arial" w:hAnsi="Arial" w:cs="Arial"/>
          <w:b/>
          <w:color w:val="005EB8"/>
        </w:rPr>
        <w:t>25</w:t>
      </w:r>
    </w:p>
    <w:p w14:paraId="4F6CB83B" w14:textId="77777777" w:rsidR="004D424E" w:rsidRPr="007B06B3" w:rsidRDefault="004D424E" w:rsidP="007E587A">
      <w:pPr>
        <w:spacing w:after="0"/>
        <w:rPr>
          <w:rFonts w:ascii="Arial" w:hAnsi="Arial" w:cs="Arial"/>
          <w:b/>
          <w:color w:val="005EB8"/>
        </w:rPr>
      </w:pPr>
    </w:p>
    <w:p w14:paraId="3711E61C" w14:textId="41DEA090" w:rsidR="00D533BF" w:rsidRPr="007B06B3" w:rsidRDefault="008808BC" w:rsidP="007E587A">
      <w:pPr>
        <w:spacing w:after="0"/>
        <w:rPr>
          <w:rFonts w:ascii="Arial" w:hAnsi="Arial" w:cs="Arial"/>
          <w:b/>
          <w:color w:val="005EB8"/>
          <w:lang w:eastAsia="en-GB"/>
        </w:rPr>
      </w:pPr>
      <w:bookmarkStart w:id="15" w:name="_Hlk187929424"/>
      <w:r w:rsidRPr="007B06B3">
        <w:rPr>
          <w:rFonts w:ascii="Arial" w:hAnsi="Arial" w:cs="Arial"/>
          <w:b/>
          <w:noProof/>
          <w:color w:val="005EB8"/>
          <w:lang w:eastAsia="en-GB"/>
        </w:rPr>
        <w:drawing>
          <wp:inline distT="0" distB="0" distL="0" distR="0" wp14:anchorId="58DD2149" wp14:editId="37982456">
            <wp:extent cx="5186885" cy="3384550"/>
            <wp:effectExtent l="0" t="0" r="0" b="6350"/>
            <wp:docPr id="15832959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7792" cy="3404718"/>
                    </a:xfrm>
                    <a:prstGeom prst="rect">
                      <a:avLst/>
                    </a:prstGeom>
                    <a:noFill/>
                  </pic:spPr>
                </pic:pic>
              </a:graphicData>
            </a:graphic>
          </wp:inline>
        </w:drawing>
      </w:r>
    </w:p>
    <w:p w14:paraId="5235E923" w14:textId="77777777" w:rsidR="00C27C2E" w:rsidRPr="007B06B3" w:rsidRDefault="00C27C2E" w:rsidP="007E587A">
      <w:pPr>
        <w:spacing w:after="0"/>
        <w:rPr>
          <w:rFonts w:ascii="Arial" w:hAnsi="Arial" w:cs="Arial"/>
          <w:b/>
          <w:color w:val="005EB8"/>
          <w:lang w:eastAsia="en-GB"/>
        </w:rPr>
      </w:pPr>
    </w:p>
    <w:p w14:paraId="7FA7A9B2" w14:textId="77777777" w:rsidR="00633571" w:rsidRPr="007B06B3" w:rsidRDefault="00633571" w:rsidP="007E587A">
      <w:pPr>
        <w:spacing w:after="0"/>
        <w:rPr>
          <w:rFonts w:ascii="Arial" w:hAnsi="Arial" w:cs="Arial"/>
          <w:b/>
          <w:color w:val="005EB8"/>
          <w:lang w:eastAsia="en-GB"/>
        </w:rPr>
      </w:pPr>
    </w:p>
    <w:p w14:paraId="7229EA31" w14:textId="77777777" w:rsidR="00633571" w:rsidRPr="007B06B3" w:rsidRDefault="00633571" w:rsidP="007E587A">
      <w:pPr>
        <w:spacing w:after="0"/>
        <w:rPr>
          <w:rFonts w:ascii="Arial" w:hAnsi="Arial" w:cs="Arial"/>
          <w:b/>
          <w:color w:val="005EB8"/>
          <w:lang w:eastAsia="en-GB"/>
        </w:rPr>
      </w:pPr>
    </w:p>
    <w:p w14:paraId="44B58AF3" w14:textId="5E25FB63" w:rsidR="001D3EF4" w:rsidRPr="007B06B3" w:rsidRDefault="0040343C" w:rsidP="007E587A">
      <w:pPr>
        <w:spacing w:after="0"/>
        <w:rPr>
          <w:rFonts w:ascii="Arial" w:hAnsi="Arial" w:cs="Arial"/>
          <w:b/>
          <w:color w:val="005EB8"/>
        </w:rPr>
      </w:pPr>
      <w:r w:rsidRPr="007B06B3">
        <w:rPr>
          <w:rFonts w:ascii="Arial" w:hAnsi="Arial" w:cs="Arial"/>
          <w:b/>
          <w:color w:val="005EB8"/>
          <w:lang w:eastAsia="en-GB"/>
        </w:rPr>
        <w:lastRenderedPageBreak/>
        <w:t>Table 2</w:t>
      </w:r>
      <w:r w:rsidR="00B54181" w:rsidRPr="007B06B3">
        <w:rPr>
          <w:rFonts w:ascii="Arial" w:hAnsi="Arial" w:cs="Arial"/>
          <w:b/>
          <w:color w:val="005EB8"/>
          <w:lang w:eastAsia="en-GB"/>
        </w:rPr>
        <w:t>a</w:t>
      </w:r>
      <w:r w:rsidRPr="007B06B3">
        <w:rPr>
          <w:rFonts w:ascii="Arial" w:hAnsi="Arial" w:cs="Arial"/>
          <w:b/>
          <w:color w:val="005EB8"/>
          <w:lang w:eastAsia="en-GB"/>
        </w:rPr>
        <w:t xml:space="preserve">. </w:t>
      </w:r>
      <w:r w:rsidR="001D3EF4" w:rsidRPr="007B06B3">
        <w:rPr>
          <w:rFonts w:ascii="Arial" w:hAnsi="Arial" w:cs="Arial"/>
          <w:b/>
          <w:color w:val="005EB8"/>
        </w:rPr>
        <w:t xml:space="preserve">Occasions when </w:t>
      </w:r>
      <w:r w:rsidR="00B54181" w:rsidRPr="007B06B3">
        <w:rPr>
          <w:rFonts w:ascii="Arial" w:hAnsi="Arial" w:cs="Arial"/>
          <w:b/>
          <w:color w:val="005EB8"/>
        </w:rPr>
        <w:t xml:space="preserve">all </w:t>
      </w:r>
      <w:r w:rsidR="001D3EF4" w:rsidRPr="007B06B3">
        <w:rPr>
          <w:rFonts w:ascii="Arial" w:hAnsi="Arial" w:cs="Arial"/>
          <w:b/>
          <w:color w:val="005EB8"/>
        </w:rPr>
        <w:t xml:space="preserve">registered staffing fell below 75% of standard </w:t>
      </w:r>
      <w:r w:rsidR="002344E1" w:rsidRPr="007B06B3">
        <w:rPr>
          <w:rFonts w:ascii="Arial" w:hAnsi="Arial" w:cs="Arial"/>
          <w:b/>
          <w:color w:val="005EB8"/>
        </w:rPr>
        <w:t>template.</w:t>
      </w:r>
      <w:r w:rsidR="001D3EF4" w:rsidRPr="007B06B3">
        <w:rPr>
          <w:rFonts w:ascii="Arial" w:hAnsi="Arial" w:cs="Arial"/>
          <w:b/>
          <w:color w:val="005EB8"/>
        </w:rPr>
        <w:t xml:space="preserve"> </w:t>
      </w:r>
    </w:p>
    <w:p w14:paraId="2B18FA2C" w14:textId="0B3951EA" w:rsidR="004D424E" w:rsidRPr="007B06B3" w:rsidRDefault="00252BE7" w:rsidP="007E587A">
      <w:pPr>
        <w:spacing w:after="0"/>
        <w:rPr>
          <w:rFonts w:ascii="Arial" w:hAnsi="Arial" w:cs="Arial"/>
          <w:b/>
          <w:color w:val="005EB8"/>
          <w:lang w:eastAsia="en-GB"/>
        </w:rPr>
      </w:pPr>
      <w:r w:rsidRPr="007B06B3">
        <w:rPr>
          <w:rFonts w:ascii="Arial" w:hAnsi="Arial" w:cs="Arial"/>
          <w:b/>
          <w:color w:val="005EB8"/>
          <w:lang w:eastAsia="en-GB"/>
        </w:rPr>
        <w:t>Trend Data</w:t>
      </w:r>
      <w:r w:rsidR="000851F7" w:rsidRPr="007B06B3">
        <w:rPr>
          <w:rFonts w:ascii="Arial" w:hAnsi="Arial" w:cs="Arial"/>
          <w:b/>
          <w:color w:val="005EB8"/>
          <w:lang w:eastAsia="en-GB"/>
        </w:rPr>
        <w:t xml:space="preserve"> </w:t>
      </w:r>
      <w:r w:rsidR="00CE13D7" w:rsidRPr="007B06B3">
        <w:rPr>
          <w:rFonts w:ascii="Arial" w:hAnsi="Arial" w:cs="Arial"/>
          <w:b/>
          <w:color w:val="005EB8"/>
          <w:lang w:eastAsia="en-GB"/>
        </w:rPr>
        <w:t>jan-25</w:t>
      </w:r>
      <w:r w:rsidR="00B54181" w:rsidRPr="007B06B3">
        <w:rPr>
          <w:rFonts w:ascii="Arial" w:hAnsi="Arial" w:cs="Arial"/>
          <w:b/>
          <w:color w:val="005EB8"/>
          <w:lang w:eastAsia="en-GB"/>
        </w:rPr>
        <w:t xml:space="preserve"> –</w:t>
      </w:r>
      <w:r w:rsidR="005E7E62" w:rsidRPr="007B06B3">
        <w:rPr>
          <w:rFonts w:ascii="Arial" w:hAnsi="Arial" w:cs="Arial"/>
          <w:b/>
          <w:color w:val="005EB8"/>
          <w:lang w:eastAsia="en-GB"/>
        </w:rPr>
        <w:t xml:space="preserve"> </w:t>
      </w:r>
      <w:r w:rsidR="00CE13D7" w:rsidRPr="007B06B3">
        <w:rPr>
          <w:rFonts w:ascii="Arial" w:hAnsi="Arial" w:cs="Arial"/>
          <w:b/>
          <w:color w:val="005EB8"/>
          <w:lang w:eastAsia="en-GB"/>
        </w:rPr>
        <w:t>Dec</w:t>
      </w:r>
      <w:r w:rsidR="00B54181" w:rsidRPr="007B06B3">
        <w:rPr>
          <w:rFonts w:ascii="Arial" w:hAnsi="Arial" w:cs="Arial"/>
          <w:b/>
          <w:color w:val="005EB8"/>
          <w:lang w:eastAsia="en-GB"/>
        </w:rPr>
        <w:t>-25</w:t>
      </w:r>
    </w:p>
    <w:p w14:paraId="1EA164D0" w14:textId="32099F10" w:rsidR="004D424E" w:rsidRPr="007B06B3" w:rsidRDefault="004D424E" w:rsidP="007E587A">
      <w:pPr>
        <w:spacing w:after="0"/>
        <w:rPr>
          <w:rFonts w:ascii="Arial" w:hAnsi="Arial" w:cs="Arial"/>
          <w:b/>
          <w:color w:val="005EB8"/>
          <w:lang w:eastAsia="en-GB"/>
        </w:rPr>
      </w:pPr>
    </w:p>
    <w:p w14:paraId="7BF4FB03" w14:textId="75FEAD59" w:rsidR="00A66A91" w:rsidRPr="007B06B3" w:rsidRDefault="008808BC" w:rsidP="0040343C">
      <w:pPr>
        <w:spacing w:after="0"/>
        <w:rPr>
          <w:rFonts w:ascii="Arial" w:hAnsi="Arial" w:cs="Arial"/>
          <w:b/>
          <w:color w:val="005EB8"/>
          <w:lang w:eastAsia="en-GB"/>
        </w:rPr>
      </w:pPr>
      <w:bookmarkStart w:id="16" w:name="_Hlk189467370"/>
      <w:bookmarkStart w:id="17" w:name="_Hlk166656497"/>
      <w:bookmarkStart w:id="18" w:name="_Hlk168663555"/>
      <w:bookmarkEnd w:id="15"/>
      <w:r w:rsidRPr="007B06B3">
        <w:rPr>
          <w:rFonts w:ascii="Arial" w:hAnsi="Arial" w:cs="Arial"/>
          <w:b/>
          <w:noProof/>
          <w:color w:val="005EB8"/>
          <w:lang w:eastAsia="en-GB"/>
        </w:rPr>
        <w:drawing>
          <wp:inline distT="0" distB="0" distL="0" distR="0" wp14:anchorId="341ADEF5" wp14:editId="2EE3E3AF">
            <wp:extent cx="5122295" cy="3332746"/>
            <wp:effectExtent l="0" t="0" r="2540" b="1270"/>
            <wp:docPr id="1274989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178" cy="3346333"/>
                    </a:xfrm>
                    <a:prstGeom prst="rect">
                      <a:avLst/>
                    </a:prstGeom>
                    <a:noFill/>
                  </pic:spPr>
                </pic:pic>
              </a:graphicData>
            </a:graphic>
          </wp:inline>
        </w:drawing>
      </w:r>
    </w:p>
    <w:p w14:paraId="06F12C04" w14:textId="77777777" w:rsidR="00A25A23" w:rsidRPr="007B06B3" w:rsidRDefault="00A25A23" w:rsidP="00B54181">
      <w:pPr>
        <w:spacing w:after="0"/>
        <w:rPr>
          <w:rFonts w:ascii="Arial" w:hAnsi="Arial" w:cs="Arial"/>
          <w:b/>
          <w:color w:val="005EB8"/>
          <w:lang w:eastAsia="en-GB"/>
        </w:rPr>
      </w:pPr>
    </w:p>
    <w:p w14:paraId="28D2C312" w14:textId="33ED43F9" w:rsidR="00B54181" w:rsidRPr="007B06B3" w:rsidRDefault="00B54181" w:rsidP="00B54181">
      <w:pPr>
        <w:spacing w:after="0"/>
        <w:rPr>
          <w:rFonts w:ascii="Arial" w:hAnsi="Arial" w:cs="Arial"/>
          <w:b/>
          <w:color w:val="005EB8"/>
          <w:lang w:eastAsia="en-GB"/>
        </w:rPr>
      </w:pPr>
      <w:r w:rsidRPr="0086376D">
        <w:rPr>
          <w:rFonts w:ascii="Arial" w:hAnsi="Arial" w:cs="Arial"/>
          <w:b/>
          <w:color w:val="005EB8"/>
          <w:lang w:eastAsia="en-GB"/>
        </w:rPr>
        <w:t xml:space="preserve">Table 2b. Occasions when registered maternity staffing fell below 75% of standard template. Trend Data </w:t>
      </w:r>
      <w:r w:rsidR="00CE13D7" w:rsidRPr="0086376D">
        <w:rPr>
          <w:rFonts w:ascii="Arial" w:hAnsi="Arial" w:cs="Arial"/>
          <w:b/>
          <w:color w:val="005EB8"/>
          <w:lang w:eastAsia="en-GB"/>
        </w:rPr>
        <w:t>Jan-25</w:t>
      </w:r>
      <w:r w:rsidRPr="0086376D">
        <w:rPr>
          <w:rFonts w:ascii="Arial" w:hAnsi="Arial" w:cs="Arial"/>
          <w:b/>
          <w:color w:val="005EB8"/>
          <w:lang w:eastAsia="en-GB"/>
        </w:rPr>
        <w:t xml:space="preserve"> – </w:t>
      </w:r>
      <w:r w:rsidR="00CE13D7" w:rsidRPr="0086376D">
        <w:rPr>
          <w:rFonts w:ascii="Arial" w:hAnsi="Arial" w:cs="Arial"/>
          <w:b/>
          <w:color w:val="005EB8"/>
          <w:lang w:eastAsia="en-GB"/>
        </w:rPr>
        <w:t>Dec</w:t>
      </w:r>
      <w:r w:rsidRPr="0086376D">
        <w:rPr>
          <w:rFonts w:ascii="Arial" w:hAnsi="Arial" w:cs="Arial"/>
          <w:b/>
          <w:color w:val="005EB8"/>
          <w:lang w:eastAsia="en-GB"/>
        </w:rPr>
        <w:t>-25</w:t>
      </w:r>
    </w:p>
    <w:p w14:paraId="678ADBB3" w14:textId="77777777" w:rsidR="00B54181" w:rsidRPr="007B06B3" w:rsidRDefault="00B54181" w:rsidP="00B54181">
      <w:pPr>
        <w:spacing w:after="0"/>
        <w:rPr>
          <w:rFonts w:ascii="Arial" w:hAnsi="Arial" w:cs="Arial"/>
          <w:b/>
          <w:color w:val="005EB8"/>
          <w:lang w:eastAsia="en-GB"/>
        </w:rPr>
      </w:pPr>
    </w:p>
    <w:p w14:paraId="12CE6E90" w14:textId="5800C8A6" w:rsidR="00B54181" w:rsidRPr="007B06B3" w:rsidRDefault="0086376D" w:rsidP="00B54181">
      <w:pPr>
        <w:spacing w:after="0"/>
        <w:rPr>
          <w:rFonts w:ascii="Arial" w:hAnsi="Arial" w:cs="Arial"/>
          <w:b/>
          <w:color w:val="005EB8"/>
          <w:lang w:eastAsia="en-GB"/>
        </w:rPr>
      </w:pPr>
      <w:r>
        <w:rPr>
          <w:rFonts w:ascii="Arial" w:hAnsi="Arial" w:cs="Arial"/>
          <w:b/>
          <w:noProof/>
          <w:color w:val="005EB8"/>
          <w:lang w:eastAsia="en-GB"/>
        </w:rPr>
        <w:drawing>
          <wp:inline distT="0" distB="0" distL="0" distR="0" wp14:anchorId="6CD44BD3" wp14:editId="33F24796">
            <wp:extent cx="5100103" cy="3318307"/>
            <wp:effectExtent l="0" t="0" r="5715" b="0"/>
            <wp:docPr id="1550838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1406" cy="3332168"/>
                    </a:xfrm>
                    <a:prstGeom prst="rect">
                      <a:avLst/>
                    </a:prstGeom>
                    <a:noFill/>
                  </pic:spPr>
                </pic:pic>
              </a:graphicData>
            </a:graphic>
          </wp:inline>
        </w:drawing>
      </w:r>
    </w:p>
    <w:p w14:paraId="7AA88FA6" w14:textId="77777777" w:rsidR="00C27C2E" w:rsidRPr="007B06B3" w:rsidRDefault="00C27C2E" w:rsidP="001F47E2">
      <w:pPr>
        <w:spacing w:after="0"/>
        <w:rPr>
          <w:rFonts w:ascii="Arial" w:hAnsi="Arial" w:cs="Arial"/>
          <w:shd w:val="clear" w:color="auto" w:fill="FFFFFF"/>
        </w:rPr>
      </w:pPr>
    </w:p>
    <w:p w14:paraId="1DB37226" w14:textId="77777777" w:rsidR="00633571" w:rsidRPr="007B06B3" w:rsidRDefault="00633571" w:rsidP="0040343C">
      <w:pPr>
        <w:spacing w:after="0"/>
        <w:rPr>
          <w:rFonts w:ascii="Arial" w:hAnsi="Arial" w:cs="Arial"/>
          <w:b/>
          <w:color w:val="005EB8"/>
          <w:lang w:eastAsia="en-GB"/>
        </w:rPr>
      </w:pPr>
    </w:p>
    <w:p w14:paraId="09F4CAC0" w14:textId="77777777" w:rsidR="00633571" w:rsidRPr="007B06B3" w:rsidRDefault="00633571" w:rsidP="0040343C">
      <w:pPr>
        <w:spacing w:after="0"/>
        <w:rPr>
          <w:rFonts w:ascii="Arial" w:hAnsi="Arial" w:cs="Arial"/>
          <w:b/>
          <w:color w:val="005EB8"/>
          <w:lang w:eastAsia="en-GB"/>
        </w:rPr>
      </w:pPr>
    </w:p>
    <w:p w14:paraId="618AF094" w14:textId="77777777" w:rsidR="00633571" w:rsidRPr="007B06B3" w:rsidRDefault="00633571" w:rsidP="0040343C">
      <w:pPr>
        <w:spacing w:after="0"/>
        <w:rPr>
          <w:rFonts w:ascii="Arial" w:hAnsi="Arial" w:cs="Arial"/>
          <w:b/>
          <w:color w:val="005EB8"/>
          <w:lang w:eastAsia="en-GB"/>
        </w:rPr>
      </w:pPr>
    </w:p>
    <w:p w14:paraId="148DF71C" w14:textId="0F12DBE7" w:rsidR="00BD5FB6" w:rsidRPr="007B06B3" w:rsidRDefault="0055598D" w:rsidP="0040343C">
      <w:pPr>
        <w:spacing w:after="0"/>
        <w:rPr>
          <w:rFonts w:ascii="Arial" w:hAnsi="Arial" w:cs="Arial"/>
          <w:b/>
          <w:color w:val="005EB8"/>
          <w:lang w:eastAsia="en-GB"/>
        </w:rPr>
      </w:pPr>
      <w:r w:rsidRPr="007B06B3">
        <w:rPr>
          <w:rFonts w:ascii="Arial" w:hAnsi="Arial" w:cs="Arial"/>
          <w:b/>
          <w:color w:val="005EB8"/>
          <w:lang w:eastAsia="en-GB"/>
        </w:rPr>
        <w:lastRenderedPageBreak/>
        <w:t>Table 3</w:t>
      </w:r>
      <w:r w:rsidR="00EE6829" w:rsidRPr="007B06B3">
        <w:rPr>
          <w:rFonts w:ascii="Arial" w:hAnsi="Arial" w:cs="Arial"/>
          <w:b/>
          <w:color w:val="005EB8"/>
          <w:lang w:eastAsia="en-GB"/>
        </w:rPr>
        <w:t>a</w:t>
      </w:r>
      <w:r w:rsidRPr="007B06B3">
        <w:rPr>
          <w:rFonts w:ascii="Arial" w:hAnsi="Arial" w:cs="Arial"/>
          <w:b/>
          <w:color w:val="005EB8"/>
          <w:lang w:eastAsia="en-GB"/>
        </w:rPr>
        <w:t xml:space="preserve">. Red Flags raised via SafeCare </w:t>
      </w:r>
      <w:r w:rsidR="00CE13D7" w:rsidRPr="007B06B3">
        <w:rPr>
          <w:rFonts w:ascii="Arial" w:hAnsi="Arial" w:cs="Arial"/>
          <w:b/>
          <w:color w:val="005EB8"/>
          <w:lang w:eastAsia="en-GB"/>
        </w:rPr>
        <w:t>Dec</w:t>
      </w:r>
      <w:r w:rsidR="00206CA8" w:rsidRPr="007B06B3">
        <w:rPr>
          <w:rFonts w:ascii="Arial" w:hAnsi="Arial" w:cs="Arial"/>
          <w:b/>
          <w:color w:val="005EB8"/>
          <w:lang w:eastAsia="en-GB"/>
        </w:rPr>
        <w:t>-</w:t>
      </w:r>
      <w:r w:rsidR="009454B6" w:rsidRPr="007B06B3">
        <w:rPr>
          <w:rFonts w:ascii="Arial" w:hAnsi="Arial" w:cs="Arial"/>
          <w:b/>
          <w:color w:val="005EB8"/>
          <w:lang w:eastAsia="en-GB"/>
        </w:rPr>
        <w:t>25</w:t>
      </w:r>
    </w:p>
    <w:p w14:paraId="0FFCAD68" w14:textId="77777777" w:rsidR="00A66A91" w:rsidRPr="007B06B3" w:rsidRDefault="00A66A91" w:rsidP="0040343C">
      <w:pPr>
        <w:spacing w:after="0"/>
        <w:rPr>
          <w:rFonts w:ascii="Arial" w:hAnsi="Arial" w:cs="Arial"/>
          <w:b/>
          <w:color w:val="005EB8"/>
          <w:lang w:eastAsia="en-GB"/>
        </w:rPr>
      </w:pPr>
    </w:p>
    <w:p w14:paraId="254DBAF3" w14:textId="373322D5" w:rsidR="00317DE5" w:rsidRPr="007B06B3" w:rsidRDefault="001E1DDC" w:rsidP="0040343C">
      <w:pPr>
        <w:spacing w:after="0"/>
        <w:rPr>
          <w:rFonts w:ascii="Arial" w:hAnsi="Arial" w:cs="Arial"/>
          <w:b/>
          <w:color w:val="005EB8"/>
        </w:rPr>
      </w:pPr>
      <w:r w:rsidRPr="007B06B3">
        <w:rPr>
          <w:noProof/>
        </w:rPr>
        <w:drawing>
          <wp:inline distT="0" distB="0" distL="0" distR="0" wp14:anchorId="63BE1EAA" wp14:editId="5F96C67A">
            <wp:extent cx="5854700" cy="2411296"/>
            <wp:effectExtent l="0" t="0" r="0" b="8255"/>
            <wp:docPr id="1596177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2385" cy="2414461"/>
                    </a:xfrm>
                    <a:prstGeom prst="rect">
                      <a:avLst/>
                    </a:prstGeom>
                    <a:noFill/>
                    <a:ln>
                      <a:noFill/>
                    </a:ln>
                  </pic:spPr>
                </pic:pic>
              </a:graphicData>
            </a:graphic>
          </wp:inline>
        </w:drawing>
      </w:r>
    </w:p>
    <w:bookmarkEnd w:id="16"/>
    <w:p w14:paraId="133D7FF4" w14:textId="77777777" w:rsidR="002344E1" w:rsidRPr="007B06B3" w:rsidRDefault="002344E1" w:rsidP="00EE6829">
      <w:pPr>
        <w:spacing w:after="0"/>
        <w:rPr>
          <w:rFonts w:ascii="Arial" w:hAnsi="Arial" w:cs="Arial"/>
          <w:b/>
          <w:color w:val="005EB8"/>
          <w:lang w:eastAsia="en-GB"/>
        </w:rPr>
      </w:pPr>
    </w:p>
    <w:p w14:paraId="3BC76CD5" w14:textId="212A281D" w:rsidR="00EE6829" w:rsidRPr="007B06B3" w:rsidRDefault="00F87612" w:rsidP="00EE6829">
      <w:pPr>
        <w:spacing w:after="0"/>
        <w:rPr>
          <w:rFonts w:ascii="Arial" w:hAnsi="Arial" w:cs="Arial"/>
          <w:b/>
          <w:color w:val="005EB8"/>
          <w:lang w:eastAsia="en-GB"/>
        </w:rPr>
      </w:pPr>
      <w:r w:rsidRPr="007B06B3">
        <w:rPr>
          <w:rFonts w:ascii="Arial" w:hAnsi="Arial" w:cs="Arial"/>
          <w:b/>
          <w:color w:val="005EB8"/>
          <w:lang w:eastAsia="en-GB"/>
        </w:rPr>
        <w:t>T</w:t>
      </w:r>
      <w:r w:rsidR="00EE6829" w:rsidRPr="007B06B3">
        <w:rPr>
          <w:rFonts w:ascii="Arial" w:hAnsi="Arial" w:cs="Arial"/>
          <w:b/>
          <w:color w:val="005EB8"/>
          <w:lang w:eastAsia="en-GB"/>
        </w:rPr>
        <w:t>able 3b. Red Flags raised via SafeCare</w:t>
      </w:r>
      <w:r w:rsidR="00841F59" w:rsidRPr="007B06B3">
        <w:rPr>
          <w:rFonts w:ascii="Arial" w:hAnsi="Arial" w:cs="Arial"/>
          <w:b/>
          <w:color w:val="005EB8"/>
          <w:lang w:eastAsia="en-GB"/>
        </w:rPr>
        <w:t xml:space="preserve"> </w:t>
      </w:r>
      <w:r w:rsidR="00AD2028" w:rsidRPr="007B06B3">
        <w:rPr>
          <w:rFonts w:ascii="Arial" w:hAnsi="Arial" w:cs="Arial"/>
          <w:b/>
          <w:color w:val="005EB8"/>
          <w:lang w:eastAsia="en-GB"/>
        </w:rPr>
        <w:t>t</w:t>
      </w:r>
      <w:r w:rsidR="00EE6829" w:rsidRPr="007B06B3">
        <w:rPr>
          <w:rFonts w:ascii="Arial" w:hAnsi="Arial" w:cs="Arial"/>
          <w:b/>
          <w:color w:val="005EB8"/>
          <w:lang w:eastAsia="en-GB"/>
        </w:rPr>
        <w:t>rend</w:t>
      </w:r>
      <w:r w:rsidR="00AD2028" w:rsidRPr="007B06B3">
        <w:rPr>
          <w:rFonts w:ascii="Arial" w:hAnsi="Arial" w:cs="Arial"/>
          <w:b/>
          <w:color w:val="005EB8"/>
          <w:lang w:eastAsia="en-GB"/>
        </w:rPr>
        <w:t xml:space="preserve"> </w:t>
      </w:r>
      <w:r w:rsidR="00CE13D7" w:rsidRPr="007B06B3">
        <w:rPr>
          <w:rFonts w:ascii="Arial" w:hAnsi="Arial" w:cs="Arial"/>
          <w:b/>
          <w:color w:val="005EB8"/>
          <w:lang w:eastAsia="en-GB"/>
        </w:rPr>
        <w:t>Jan-25</w:t>
      </w:r>
      <w:r w:rsidR="00206CA8" w:rsidRPr="007B06B3">
        <w:rPr>
          <w:rFonts w:ascii="Arial" w:hAnsi="Arial" w:cs="Arial"/>
          <w:b/>
          <w:color w:val="005EB8"/>
          <w:lang w:eastAsia="en-GB"/>
        </w:rPr>
        <w:t xml:space="preserve"> – </w:t>
      </w:r>
      <w:r w:rsidR="00CE13D7" w:rsidRPr="007B06B3">
        <w:rPr>
          <w:rFonts w:ascii="Arial" w:hAnsi="Arial" w:cs="Arial"/>
          <w:b/>
          <w:color w:val="005EB8"/>
          <w:lang w:eastAsia="en-GB"/>
        </w:rPr>
        <w:t>Dec</w:t>
      </w:r>
      <w:r w:rsidR="00206CA8" w:rsidRPr="007B06B3">
        <w:rPr>
          <w:rFonts w:ascii="Arial" w:hAnsi="Arial" w:cs="Arial"/>
          <w:b/>
          <w:color w:val="005EB8"/>
          <w:lang w:eastAsia="en-GB"/>
        </w:rPr>
        <w:t>-25</w:t>
      </w:r>
    </w:p>
    <w:p w14:paraId="79EE940A" w14:textId="77777777" w:rsidR="002344E1" w:rsidRPr="007B06B3" w:rsidRDefault="002344E1" w:rsidP="00EE6829">
      <w:pPr>
        <w:spacing w:after="0"/>
        <w:rPr>
          <w:rFonts w:ascii="Arial" w:hAnsi="Arial" w:cs="Arial"/>
          <w:b/>
          <w:color w:val="005EB8"/>
        </w:rPr>
      </w:pPr>
    </w:p>
    <w:p w14:paraId="3EDB8EF6" w14:textId="56EB4125" w:rsidR="004A195F" w:rsidRPr="007B06B3" w:rsidRDefault="001E1DDC" w:rsidP="0040343C">
      <w:pPr>
        <w:spacing w:after="0"/>
        <w:rPr>
          <w:rFonts w:ascii="Arial" w:hAnsi="Arial" w:cs="Arial"/>
          <w:b/>
          <w:color w:val="005EB8"/>
        </w:rPr>
      </w:pPr>
      <w:r w:rsidRPr="007B06B3">
        <w:rPr>
          <w:rFonts w:ascii="Arial" w:hAnsi="Arial" w:cs="Arial"/>
          <w:b/>
          <w:noProof/>
          <w:color w:val="005EB8"/>
        </w:rPr>
        <w:drawing>
          <wp:inline distT="0" distB="0" distL="0" distR="0" wp14:anchorId="131C1374" wp14:editId="783260F7">
            <wp:extent cx="5309273" cy="3454400"/>
            <wp:effectExtent l="0" t="0" r="5715" b="0"/>
            <wp:docPr id="1806349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23789" cy="3463845"/>
                    </a:xfrm>
                    <a:prstGeom prst="rect">
                      <a:avLst/>
                    </a:prstGeom>
                    <a:noFill/>
                  </pic:spPr>
                </pic:pic>
              </a:graphicData>
            </a:graphic>
          </wp:inline>
        </w:drawing>
      </w:r>
    </w:p>
    <w:p w14:paraId="4E049375" w14:textId="77777777" w:rsidR="00FF61B1" w:rsidRPr="007B06B3" w:rsidRDefault="00FF61B1" w:rsidP="0040343C">
      <w:pPr>
        <w:spacing w:after="0"/>
        <w:rPr>
          <w:rFonts w:ascii="Arial" w:hAnsi="Arial" w:cs="Arial"/>
          <w:b/>
          <w:color w:val="005EB8"/>
        </w:rPr>
      </w:pPr>
    </w:p>
    <w:p w14:paraId="634DA58E" w14:textId="77777777" w:rsidR="00633571" w:rsidRPr="007B06B3" w:rsidRDefault="00633571" w:rsidP="00C27C2E">
      <w:pPr>
        <w:spacing w:after="0"/>
        <w:rPr>
          <w:rFonts w:ascii="Arial" w:hAnsi="Arial" w:cs="Arial"/>
          <w:b/>
          <w:color w:val="005EB8"/>
        </w:rPr>
      </w:pPr>
    </w:p>
    <w:p w14:paraId="71D3DBDB" w14:textId="77777777" w:rsidR="00633571" w:rsidRPr="007B06B3" w:rsidRDefault="00633571" w:rsidP="00C27C2E">
      <w:pPr>
        <w:spacing w:after="0"/>
        <w:rPr>
          <w:rFonts w:ascii="Arial" w:hAnsi="Arial" w:cs="Arial"/>
          <w:b/>
          <w:color w:val="005EB8"/>
        </w:rPr>
      </w:pPr>
    </w:p>
    <w:p w14:paraId="72B0239E" w14:textId="77777777" w:rsidR="00633571" w:rsidRPr="007B06B3" w:rsidRDefault="00633571" w:rsidP="00C27C2E">
      <w:pPr>
        <w:spacing w:after="0"/>
        <w:rPr>
          <w:rFonts w:ascii="Arial" w:hAnsi="Arial" w:cs="Arial"/>
          <w:b/>
          <w:color w:val="005EB8"/>
        </w:rPr>
      </w:pPr>
    </w:p>
    <w:p w14:paraId="1CC2D435" w14:textId="77777777" w:rsidR="00633571" w:rsidRPr="007B06B3" w:rsidRDefault="00633571" w:rsidP="00C27C2E">
      <w:pPr>
        <w:spacing w:after="0"/>
        <w:rPr>
          <w:rFonts w:ascii="Arial" w:hAnsi="Arial" w:cs="Arial"/>
          <w:b/>
          <w:color w:val="005EB8"/>
        </w:rPr>
      </w:pPr>
    </w:p>
    <w:p w14:paraId="1DB2CF1C" w14:textId="77777777" w:rsidR="00633571" w:rsidRPr="007B06B3" w:rsidRDefault="00633571" w:rsidP="00C27C2E">
      <w:pPr>
        <w:spacing w:after="0"/>
        <w:rPr>
          <w:rFonts w:ascii="Arial" w:hAnsi="Arial" w:cs="Arial"/>
          <w:b/>
          <w:color w:val="005EB8"/>
        </w:rPr>
      </w:pPr>
    </w:p>
    <w:p w14:paraId="3B8EFB29" w14:textId="77777777" w:rsidR="00633571" w:rsidRPr="007B06B3" w:rsidRDefault="00633571" w:rsidP="00C27C2E">
      <w:pPr>
        <w:spacing w:after="0"/>
        <w:rPr>
          <w:rFonts w:ascii="Arial" w:hAnsi="Arial" w:cs="Arial"/>
          <w:b/>
          <w:color w:val="005EB8"/>
        </w:rPr>
      </w:pPr>
    </w:p>
    <w:p w14:paraId="5AEAD03E" w14:textId="77777777" w:rsidR="00633571" w:rsidRPr="007B06B3" w:rsidRDefault="00633571" w:rsidP="00C27C2E">
      <w:pPr>
        <w:spacing w:after="0"/>
        <w:rPr>
          <w:rFonts w:ascii="Arial" w:hAnsi="Arial" w:cs="Arial"/>
          <w:b/>
          <w:color w:val="005EB8"/>
        </w:rPr>
      </w:pPr>
    </w:p>
    <w:p w14:paraId="2BC10A8F" w14:textId="77777777" w:rsidR="00633571" w:rsidRPr="007B06B3" w:rsidRDefault="00633571" w:rsidP="00C27C2E">
      <w:pPr>
        <w:spacing w:after="0"/>
        <w:rPr>
          <w:rFonts w:ascii="Arial" w:hAnsi="Arial" w:cs="Arial"/>
          <w:b/>
          <w:color w:val="005EB8"/>
        </w:rPr>
      </w:pPr>
    </w:p>
    <w:p w14:paraId="60165355" w14:textId="77777777" w:rsidR="00633571" w:rsidRPr="007B06B3" w:rsidRDefault="00633571" w:rsidP="00C27C2E">
      <w:pPr>
        <w:spacing w:after="0"/>
        <w:rPr>
          <w:rFonts w:ascii="Arial" w:hAnsi="Arial" w:cs="Arial"/>
          <w:b/>
          <w:color w:val="005EB8"/>
        </w:rPr>
      </w:pPr>
    </w:p>
    <w:p w14:paraId="1B63380D" w14:textId="77777777" w:rsidR="00633571" w:rsidRPr="007B06B3" w:rsidRDefault="00633571" w:rsidP="00C27C2E">
      <w:pPr>
        <w:spacing w:after="0"/>
        <w:rPr>
          <w:rFonts w:ascii="Arial" w:hAnsi="Arial" w:cs="Arial"/>
          <w:b/>
          <w:color w:val="005EB8"/>
        </w:rPr>
      </w:pPr>
    </w:p>
    <w:p w14:paraId="7AB1705F" w14:textId="5387CA28" w:rsidR="00C27C2E" w:rsidRPr="007B06B3" w:rsidRDefault="00C27C2E" w:rsidP="00C27C2E">
      <w:pPr>
        <w:spacing w:after="0"/>
        <w:rPr>
          <w:rFonts w:ascii="Arial" w:hAnsi="Arial" w:cs="Arial"/>
          <w:b/>
          <w:color w:val="005EB8"/>
        </w:rPr>
      </w:pPr>
      <w:r w:rsidRPr="007B06B3">
        <w:rPr>
          <w:rFonts w:ascii="Arial" w:hAnsi="Arial" w:cs="Arial"/>
          <w:b/>
          <w:color w:val="005EB8"/>
        </w:rPr>
        <w:lastRenderedPageBreak/>
        <w:t>Table 3c. Datix for lack of suitably trained / skilled staff</w:t>
      </w:r>
      <w:r w:rsidR="00636706" w:rsidRPr="007B06B3">
        <w:rPr>
          <w:rFonts w:ascii="Arial" w:hAnsi="Arial" w:cs="Arial"/>
          <w:b/>
          <w:color w:val="005EB8"/>
        </w:rPr>
        <w:t xml:space="preserve"> Jun-25 – Dec-25 </w:t>
      </w:r>
    </w:p>
    <w:p w14:paraId="541861F2" w14:textId="2F6A1753" w:rsidR="00C27C2E" w:rsidRPr="007B06B3" w:rsidRDefault="00636706" w:rsidP="0040343C">
      <w:pPr>
        <w:spacing w:after="0"/>
        <w:rPr>
          <w:rFonts w:ascii="Arial" w:hAnsi="Arial" w:cs="Arial"/>
          <w:b/>
          <w:color w:val="005EB8"/>
        </w:rPr>
      </w:pPr>
      <w:r w:rsidRPr="007B06B3">
        <w:rPr>
          <w:rFonts w:ascii="Arial" w:hAnsi="Arial" w:cs="Arial"/>
          <w:b/>
          <w:noProof/>
          <w:color w:val="005EB8"/>
        </w:rPr>
        <w:drawing>
          <wp:inline distT="0" distB="0" distL="0" distR="0" wp14:anchorId="20A0A6E6" wp14:editId="75CE438B">
            <wp:extent cx="5339080" cy="2821930"/>
            <wp:effectExtent l="0" t="0" r="0" b="0"/>
            <wp:docPr id="1526900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57866" cy="2831859"/>
                    </a:xfrm>
                    <a:prstGeom prst="rect">
                      <a:avLst/>
                    </a:prstGeom>
                    <a:noFill/>
                  </pic:spPr>
                </pic:pic>
              </a:graphicData>
            </a:graphic>
          </wp:inline>
        </w:drawing>
      </w:r>
    </w:p>
    <w:p w14:paraId="262FB1DB" w14:textId="77777777" w:rsidR="00633571" w:rsidRPr="007B06B3" w:rsidRDefault="00633571" w:rsidP="0040343C">
      <w:pPr>
        <w:spacing w:after="0"/>
        <w:rPr>
          <w:rFonts w:ascii="Arial" w:hAnsi="Arial" w:cs="Arial"/>
          <w:b/>
          <w:color w:val="005EB8"/>
        </w:rPr>
      </w:pPr>
    </w:p>
    <w:bookmarkEnd w:id="17"/>
    <w:bookmarkEnd w:id="18"/>
    <w:p w14:paraId="5C2CE741" w14:textId="106B49CC" w:rsidR="000B050A" w:rsidRPr="007B06B3" w:rsidRDefault="00F90952" w:rsidP="00F90952">
      <w:pPr>
        <w:spacing w:after="0"/>
        <w:rPr>
          <w:rFonts w:ascii="Arial" w:hAnsi="Arial" w:cs="Arial"/>
          <w:b/>
          <w:noProof/>
          <w:color w:val="005EB8"/>
        </w:rPr>
      </w:pPr>
      <w:r w:rsidRPr="007B06B3">
        <w:rPr>
          <w:rFonts w:ascii="Arial" w:hAnsi="Arial" w:cs="Arial"/>
          <w:b/>
          <w:noProof/>
          <w:color w:val="005EB8"/>
        </w:rPr>
        <w:t xml:space="preserve">Appendix </w:t>
      </w:r>
      <w:r w:rsidR="00750EC6" w:rsidRPr="007B06B3">
        <w:rPr>
          <w:rFonts w:ascii="Arial" w:hAnsi="Arial" w:cs="Arial"/>
          <w:b/>
          <w:noProof/>
          <w:color w:val="005EB8"/>
        </w:rPr>
        <w:t>5</w:t>
      </w:r>
      <w:r w:rsidRPr="007B06B3">
        <w:rPr>
          <w:rFonts w:ascii="Arial" w:hAnsi="Arial" w:cs="Arial"/>
          <w:b/>
          <w:noProof/>
          <w:color w:val="005EB8"/>
        </w:rPr>
        <w:t>:</w:t>
      </w:r>
      <w:r w:rsidR="00AD0401" w:rsidRPr="007B06B3">
        <w:rPr>
          <w:rFonts w:ascii="Arial" w:hAnsi="Arial" w:cs="Arial"/>
          <w:b/>
          <w:noProof/>
          <w:color w:val="005EB8"/>
        </w:rPr>
        <w:t xml:space="preserve"> </w:t>
      </w:r>
      <w:r w:rsidR="000B050A" w:rsidRPr="007B06B3">
        <w:rPr>
          <w:rFonts w:ascii="Arial" w:hAnsi="Arial" w:cs="Arial"/>
          <w:b/>
          <w:noProof/>
          <w:color w:val="005EB8"/>
        </w:rPr>
        <w:t>Nursing quality indicators</w:t>
      </w:r>
    </w:p>
    <w:p w14:paraId="41B09E67" w14:textId="09429722" w:rsidR="000B050A" w:rsidRPr="00037267" w:rsidRDefault="000B050A" w:rsidP="000B050A">
      <w:pPr>
        <w:spacing w:after="0"/>
        <w:rPr>
          <w:rFonts w:ascii="Arial" w:hAnsi="Arial" w:cs="Arial"/>
          <w:b/>
          <w:color w:val="005EB8"/>
        </w:rPr>
      </w:pPr>
      <w:bookmarkStart w:id="19" w:name="_Hlk168574233"/>
      <w:r w:rsidRPr="007B06B3">
        <w:rPr>
          <w:rFonts w:ascii="Arial" w:hAnsi="Arial" w:cs="Arial"/>
          <w:b/>
          <w:color w:val="005EB8"/>
        </w:rPr>
        <w:t>Table 1. Number of falls</w:t>
      </w:r>
      <w:r w:rsidR="002B54A8">
        <w:rPr>
          <w:rFonts w:ascii="Arial" w:hAnsi="Arial" w:cs="Arial"/>
          <w:b/>
          <w:color w:val="005EB8"/>
        </w:rPr>
        <w:t xml:space="preserve"> and categories </w:t>
      </w:r>
      <w:r w:rsidRPr="007B06B3">
        <w:rPr>
          <w:rFonts w:ascii="Arial" w:hAnsi="Arial" w:cs="Arial"/>
          <w:b/>
          <w:color w:val="005EB8"/>
        </w:rPr>
        <w:t xml:space="preserve">in </w:t>
      </w:r>
      <w:r w:rsidR="00CE13D7" w:rsidRPr="007B06B3">
        <w:rPr>
          <w:rFonts w:ascii="Arial" w:hAnsi="Arial" w:cs="Arial"/>
          <w:b/>
          <w:bCs/>
          <w:color w:val="005EB8"/>
        </w:rPr>
        <w:t>Dec</w:t>
      </w:r>
      <w:r w:rsidR="0057060E" w:rsidRPr="007B06B3">
        <w:rPr>
          <w:rFonts w:ascii="Arial" w:hAnsi="Arial" w:cs="Arial"/>
          <w:b/>
          <w:bCs/>
          <w:color w:val="005EB8"/>
        </w:rPr>
        <w:t>em</w:t>
      </w:r>
      <w:r w:rsidR="00444BC7" w:rsidRPr="007B06B3">
        <w:rPr>
          <w:rFonts w:ascii="Arial" w:hAnsi="Arial" w:cs="Arial"/>
          <w:b/>
          <w:color w:val="005EB8"/>
        </w:rPr>
        <w:t xml:space="preserve">ber </w:t>
      </w:r>
      <w:r w:rsidR="009B222A" w:rsidRPr="007B06B3">
        <w:rPr>
          <w:rFonts w:ascii="Arial" w:hAnsi="Arial" w:cs="Arial"/>
          <w:b/>
          <w:color w:val="005EB8"/>
        </w:rPr>
        <w:t>2025</w:t>
      </w:r>
      <w:r w:rsidRPr="007B06B3">
        <w:rPr>
          <w:rFonts w:ascii="Arial" w:hAnsi="Arial" w:cs="Arial"/>
          <w:b/>
          <w:color w:val="005EB8"/>
        </w:rPr>
        <w:t xml:space="preserve">, with the top 3 wards </w:t>
      </w:r>
      <w:r w:rsidR="002344E1" w:rsidRPr="007B06B3">
        <w:rPr>
          <w:rFonts w:ascii="Arial" w:hAnsi="Arial" w:cs="Arial"/>
          <w:b/>
          <w:color w:val="005EB8"/>
        </w:rPr>
        <w:t>highlighted.</w:t>
      </w:r>
    </w:p>
    <w:tbl>
      <w:tblPr>
        <w:tblW w:w="9460" w:type="dxa"/>
        <w:tblLayout w:type="fixed"/>
        <w:tblLook w:val="04A0" w:firstRow="1" w:lastRow="0" w:firstColumn="1" w:lastColumn="0" w:noHBand="0" w:noVBand="1"/>
      </w:tblPr>
      <w:tblGrid>
        <w:gridCol w:w="1560"/>
        <w:gridCol w:w="1701"/>
        <w:gridCol w:w="1984"/>
        <w:gridCol w:w="1843"/>
        <w:gridCol w:w="2372"/>
      </w:tblGrid>
      <w:tr w:rsidR="008F7DE9" w:rsidRPr="00037267" w14:paraId="56C5481C" w14:textId="77777777" w:rsidTr="00420F43">
        <w:trPr>
          <w:trHeight w:val="375"/>
        </w:trPr>
        <w:tc>
          <w:tcPr>
            <w:tcW w:w="1560" w:type="dxa"/>
            <w:tcBorders>
              <w:top w:val="nil"/>
              <w:left w:val="nil"/>
              <w:bottom w:val="single" w:sz="4" w:space="0" w:color="auto"/>
              <w:right w:val="single" w:sz="4" w:space="0" w:color="auto"/>
            </w:tcBorders>
            <w:noWrap/>
            <w:vAlign w:val="bottom"/>
            <w:hideMark/>
          </w:tcPr>
          <w:p w14:paraId="2FB99D93" w14:textId="77777777" w:rsidR="008F7DE9" w:rsidRPr="00420F43" w:rsidRDefault="008F7DE9" w:rsidP="00774463">
            <w:pPr>
              <w:spacing w:after="0" w:line="240" w:lineRule="auto"/>
              <w:rPr>
                <w:rFonts w:ascii="Arial" w:eastAsia="Times New Roman" w:hAnsi="Arial" w:cs="Arial"/>
                <w:color w:val="000000"/>
                <w:sz w:val="18"/>
                <w:szCs w:val="18"/>
                <w:lang w:eastAsia="en-GB"/>
              </w:rPr>
            </w:pPr>
            <w:bookmarkStart w:id="20" w:name="_Hlk168663719"/>
            <w:bookmarkStart w:id="21" w:name="_Hlk168663818"/>
            <w:r w:rsidRPr="00420F43">
              <w:rPr>
                <w:rFonts w:ascii="Arial" w:eastAsia="Times New Roman" w:hAnsi="Arial" w:cs="Arial"/>
                <w:color w:val="000000"/>
                <w:sz w:val="18"/>
                <w:szCs w:val="18"/>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7EDEE72A" w14:textId="77777777" w:rsidR="008F7DE9" w:rsidRPr="00420F43" w:rsidRDefault="008F7DE9"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Total falls in month</w:t>
            </w:r>
          </w:p>
        </w:tc>
        <w:tc>
          <w:tcPr>
            <w:tcW w:w="6199"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4857437F" w14:textId="77777777" w:rsidR="008F7DE9" w:rsidRPr="00420F43" w:rsidRDefault="008F7DE9"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Top 3 wards</w:t>
            </w:r>
          </w:p>
        </w:tc>
      </w:tr>
      <w:tr w:rsidR="008F7DE9" w:rsidRPr="00037267" w14:paraId="302F2BA4" w14:textId="77777777" w:rsidTr="00420F43">
        <w:trPr>
          <w:trHeight w:val="336"/>
        </w:trPr>
        <w:tc>
          <w:tcPr>
            <w:tcW w:w="1560" w:type="dxa"/>
            <w:tcBorders>
              <w:top w:val="nil"/>
              <w:left w:val="single" w:sz="4" w:space="0" w:color="auto"/>
              <w:bottom w:val="single" w:sz="4" w:space="0" w:color="auto"/>
              <w:right w:val="single" w:sz="4" w:space="0" w:color="auto"/>
            </w:tcBorders>
            <w:noWrap/>
            <w:vAlign w:val="center"/>
            <w:hideMark/>
          </w:tcPr>
          <w:p w14:paraId="696C465E" w14:textId="77777777" w:rsidR="008F7DE9" w:rsidRPr="00420F43" w:rsidRDefault="008F7DE9"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Total falls</w:t>
            </w:r>
          </w:p>
        </w:tc>
        <w:tc>
          <w:tcPr>
            <w:tcW w:w="1701" w:type="dxa"/>
            <w:tcBorders>
              <w:top w:val="nil"/>
              <w:left w:val="nil"/>
              <w:bottom w:val="single" w:sz="4" w:space="0" w:color="auto"/>
              <w:right w:val="single" w:sz="4" w:space="0" w:color="auto"/>
            </w:tcBorders>
            <w:noWrap/>
            <w:vAlign w:val="center"/>
          </w:tcPr>
          <w:p w14:paraId="79D46913" w14:textId="5E5E3F20" w:rsidR="008F7DE9"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105</w:t>
            </w:r>
          </w:p>
        </w:tc>
        <w:tc>
          <w:tcPr>
            <w:tcW w:w="1984" w:type="dxa"/>
            <w:tcBorders>
              <w:top w:val="nil"/>
              <w:left w:val="nil"/>
              <w:bottom w:val="single" w:sz="4" w:space="0" w:color="auto"/>
              <w:right w:val="single" w:sz="4" w:space="0" w:color="auto"/>
            </w:tcBorders>
            <w:noWrap/>
            <w:vAlign w:val="center"/>
          </w:tcPr>
          <w:p w14:paraId="64CFF171" w14:textId="06FC0E52" w:rsidR="008F7DE9" w:rsidRPr="00420F43" w:rsidRDefault="00F9416D"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Winter – 1</w:t>
            </w:r>
            <w:r w:rsidR="00867B92" w:rsidRPr="00420F43">
              <w:rPr>
                <w:rFonts w:ascii="Arial" w:eastAsia="Times New Roman" w:hAnsi="Arial" w:cs="Arial"/>
                <w:color w:val="000000"/>
                <w:sz w:val="18"/>
                <w:szCs w:val="18"/>
                <w:lang w:eastAsia="en-GB"/>
              </w:rPr>
              <w:t>5</w:t>
            </w:r>
            <w:r w:rsidRPr="00420F43">
              <w:rPr>
                <w:rFonts w:ascii="Arial" w:eastAsia="Times New Roman" w:hAnsi="Arial" w:cs="Arial"/>
                <w:color w:val="000000"/>
                <w:sz w:val="18"/>
                <w:szCs w:val="18"/>
                <w:lang w:eastAsia="en-GB"/>
              </w:rPr>
              <w:t xml:space="preserve"> </w:t>
            </w:r>
          </w:p>
        </w:tc>
        <w:tc>
          <w:tcPr>
            <w:tcW w:w="1843" w:type="dxa"/>
            <w:tcBorders>
              <w:top w:val="nil"/>
              <w:left w:val="nil"/>
              <w:bottom w:val="single" w:sz="4" w:space="0" w:color="auto"/>
              <w:right w:val="single" w:sz="4" w:space="0" w:color="auto"/>
            </w:tcBorders>
            <w:noWrap/>
            <w:vAlign w:val="center"/>
          </w:tcPr>
          <w:p w14:paraId="186E597D" w14:textId="2DAAABE1" w:rsidR="008F7DE9"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Ray – 10  </w:t>
            </w:r>
            <w:r w:rsidR="00F9416D" w:rsidRPr="00420F43">
              <w:rPr>
                <w:rFonts w:ascii="Arial" w:eastAsia="Times New Roman" w:hAnsi="Arial" w:cs="Arial"/>
                <w:color w:val="000000"/>
                <w:sz w:val="18"/>
                <w:szCs w:val="18"/>
                <w:lang w:eastAsia="en-GB"/>
              </w:rPr>
              <w:t xml:space="preserve"> </w:t>
            </w:r>
          </w:p>
        </w:tc>
        <w:tc>
          <w:tcPr>
            <w:tcW w:w="2372" w:type="dxa"/>
            <w:tcBorders>
              <w:top w:val="nil"/>
              <w:left w:val="nil"/>
              <w:bottom w:val="single" w:sz="4" w:space="0" w:color="auto"/>
              <w:right w:val="single" w:sz="4" w:space="0" w:color="auto"/>
            </w:tcBorders>
            <w:vAlign w:val="center"/>
          </w:tcPr>
          <w:p w14:paraId="5C6BD74A" w14:textId="60DDC0FA" w:rsidR="008F7DE9"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Saunders, OPAL, Kingsmoor</w:t>
            </w:r>
            <w:r w:rsidR="00807646" w:rsidRPr="00420F43">
              <w:rPr>
                <w:rFonts w:ascii="Arial" w:eastAsia="Times New Roman" w:hAnsi="Arial" w:cs="Arial"/>
                <w:color w:val="000000"/>
                <w:sz w:val="18"/>
                <w:szCs w:val="18"/>
                <w:lang w:eastAsia="en-GB"/>
              </w:rPr>
              <w:t>, Harvey</w:t>
            </w:r>
            <w:r w:rsidRPr="00420F43">
              <w:rPr>
                <w:rFonts w:ascii="Arial" w:eastAsia="Times New Roman" w:hAnsi="Arial" w:cs="Arial"/>
                <w:color w:val="000000"/>
                <w:sz w:val="18"/>
                <w:szCs w:val="18"/>
                <w:lang w:eastAsia="en-GB"/>
              </w:rPr>
              <w:t xml:space="preserve"> – 8  </w:t>
            </w:r>
          </w:p>
        </w:tc>
      </w:tr>
      <w:tr w:rsidR="00F957BE" w:rsidRPr="00037267" w14:paraId="6D963F1C" w14:textId="77777777" w:rsidTr="00420F43">
        <w:trPr>
          <w:trHeight w:val="336"/>
        </w:trPr>
        <w:tc>
          <w:tcPr>
            <w:tcW w:w="1560" w:type="dxa"/>
            <w:tcBorders>
              <w:top w:val="nil"/>
              <w:left w:val="single" w:sz="4" w:space="0" w:color="auto"/>
              <w:bottom w:val="single" w:sz="4" w:space="0" w:color="auto"/>
              <w:right w:val="single" w:sz="4" w:space="0" w:color="auto"/>
            </w:tcBorders>
            <w:noWrap/>
            <w:vAlign w:val="center"/>
          </w:tcPr>
          <w:p w14:paraId="1CAA12CA" w14:textId="77777777" w:rsidR="00F957BE" w:rsidRPr="00420F43" w:rsidRDefault="00F957BE"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Unwitnessed falls</w:t>
            </w:r>
          </w:p>
        </w:tc>
        <w:tc>
          <w:tcPr>
            <w:tcW w:w="1701" w:type="dxa"/>
            <w:tcBorders>
              <w:top w:val="nil"/>
              <w:left w:val="nil"/>
              <w:bottom w:val="single" w:sz="4" w:space="0" w:color="auto"/>
              <w:right w:val="single" w:sz="4" w:space="0" w:color="auto"/>
            </w:tcBorders>
            <w:noWrap/>
            <w:vAlign w:val="center"/>
          </w:tcPr>
          <w:p w14:paraId="439F8B8D" w14:textId="5CB1B410" w:rsidR="00F957BE"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92</w:t>
            </w:r>
          </w:p>
        </w:tc>
        <w:tc>
          <w:tcPr>
            <w:tcW w:w="1984" w:type="dxa"/>
            <w:tcBorders>
              <w:top w:val="nil"/>
              <w:left w:val="nil"/>
              <w:bottom w:val="single" w:sz="4" w:space="0" w:color="auto"/>
              <w:right w:val="single" w:sz="4" w:space="0" w:color="auto"/>
            </w:tcBorders>
            <w:noWrap/>
            <w:vAlign w:val="center"/>
          </w:tcPr>
          <w:p w14:paraId="5AB97497" w14:textId="20A272FF" w:rsidR="00F957BE" w:rsidRPr="00420F43" w:rsidRDefault="00F9416D"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Winter – </w:t>
            </w:r>
            <w:r w:rsidR="00867B92" w:rsidRPr="00420F43">
              <w:rPr>
                <w:rFonts w:ascii="Arial" w:eastAsia="Times New Roman" w:hAnsi="Arial" w:cs="Arial"/>
                <w:color w:val="000000"/>
                <w:sz w:val="18"/>
                <w:szCs w:val="18"/>
                <w:lang w:eastAsia="en-GB"/>
              </w:rPr>
              <w:t>13</w:t>
            </w:r>
            <w:r w:rsidRPr="00420F43">
              <w:rPr>
                <w:rFonts w:ascii="Arial" w:eastAsia="Times New Roman" w:hAnsi="Arial" w:cs="Arial"/>
                <w:color w:val="000000"/>
                <w:sz w:val="18"/>
                <w:szCs w:val="18"/>
                <w:lang w:eastAsia="en-GB"/>
              </w:rPr>
              <w:t xml:space="preserve"> </w:t>
            </w:r>
          </w:p>
        </w:tc>
        <w:tc>
          <w:tcPr>
            <w:tcW w:w="1843" w:type="dxa"/>
            <w:tcBorders>
              <w:top w:val="nil"/>
              <w:left w:val="nil"/>
              <w:bottom w:val="single" w:sz="4" w:space="0" w:color="auto"/>
              <w:right w:val="single" w:sz="4" w:space="0" w:color="auto"/>
            </w:tcBorders>
            <w:noWrap/>
            <w:vAlign w:val="center"/>
          </w:tcPr>
          <w:p w14:paraId="17BAB2EE" w14:textId="2671C108" w:rsidR="00F957BE"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Harold – 9 </w:t>
            </w:r>
            <w:r w:rsidR="00F9416D" w:rsidRPr="00420F43">
              <w:rPr>
                <w:rFonts w:ascii="Arial" w:eastAsia="Times New Roman" w:hAnsi="Arial" w:cs="Arial"/>
                <w:color w:val="000000"/>
                <w:sz w:val="18"/>
                <w:szCs w:val="18"/>
                <w:lang w:eastAsia="en-GB"/>
              </w:rPr>
              <w:t xml:space="preserve"> </w:t>
            </w:r>
          </w:p>
        </w:tc>
        <w:tc>
          <w:tcPr>
            <w:tcW w:w="2372" w:type="dxa"/>
            <w:tcBorders>
              <w:top w:val="nil"/>
              <w:left w:val="nil"/>
              <w:bottom w:val="single" w:sz="4" w:space="0" w:color="auto"/>
              <w:right w:val="single" w:sz="4" w:space="0" w:color="auto"/>
            </w:tcBorders>
            <w:vAlign w:val="center"/>
          </w:tcPr>
          <w:p w14:paraId="706F016A" w14:textId="55964AED" w:rsidR="00F957BE"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Kingsmoor, Ray, Tye Green, Lister and Henry Moore – 6 </w:t>
            </w:r>
            <w:r w:rsidR="00F9416D" w:rsidRPr="00420F43">
              <w:rPr>
                <w:rFonts w:ascii="Arial" w:eastAsia="Times New Roman" w:hAnsi="Arial" w:cs="Arial"/>
                <w:color w:val="000000"/>
                <w:sz w:val="18"/>
                <w:szCs w:val="18"/>
                <w:lang w:eastAsia="en-GB"/>
              </w:rPr>
              <w:t xml:space="preserve"> </w:t>
            </w:r>
          </w:p>
        </w:tc>
      </w:tr>
      <w:bookmarkEnd w:id="20"/>
      <w:tr w:rsidR="00867B92" w:rsidRPr="00037267" w14:paraId="72B3688E" w14:textId="77777777" w:rsidTr="00420F43">
        <w:trPr>
          <w:trHeight w:val="336"/>
        </w:trPr>
        <w:tc>
          <w:tcPr>
            <w:tcW w:w="1560" w:type="dxa"/>
            <w:tcBorders>
              <w:top w:val="nil"/>
              <w:left w:val="single" w:sz="4" w:space="0" w:color="auto"/>
              <w:bottom w:val="single" w:sz="4" w:space="0" w:color="auto"/>
              <w:right w:val="single" w:sz="4" w:space="0" w:color="auto"/>
            </w:tcBorders>
            <w:noWrap/>
            <w:vAlign w:val="center"/>
          </w:tcPr>
          <w:p w14:paraId="37FFFBE6" w14:textId="77777777" w:rsidR="00867B92"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Falls with harm *</w:t>
            </w:r>
          </w:p>
        </w:tc>
        <w:tc>
          <w:tcPr>
            <w:tcW w:w="1701" w:type="dxa"/>
            <w:tcBorders>
              <w:top w:val="nil"/>
              <w:left w:val="nil"/>
              <w:bottom w:val="single" w:sz="4" w:space="0" w:color="auto"/>
              <w:right w:val="single" w:sz="4" w:space="0" w:color="auto"/>
            </w:tcBorders>
            <w:noWrap/>
            <w:vAlign w:val="center"/>
          </w:tcPr>
          <w:p w14:paraId="726F8197" w14:textId="3C994E20" w:rsidR="00867B92"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14</w:t>
            </w:r>
          </w:p>
        </w:tc>
        <w:tc>
          <w:tcPr>
            <w:tcW w:w="1984" w:type="dxa"/>
            <w:tcBorders>
              <w:top w:val="nil"/>
              <w:left w:val="nil"/>
              <w:bottom w:val="single" w:sz="4" w:space="0" w:color="auto"/>
              <w:right w:val="single" w:sz="4" w:space="0" w:color="auto"/>
            </w:tcBorders>
            <w:noWrap/>
            <w:vAlign w:val="center"/>
          </w:tcPr>
          <w:p w14:paraId="35C749A1" w14:textId="6DBA288C" w:rsidR="00867B92"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Lister – 3  </w:t>
            </w:r>
          </w:p>
        </w:tc>
        <w:tc>
          <w:tcPr>
            <w:tcW w:w="4215" w:type="dxa"/>
            <w:gridSpan w:val="2"/>
            <w:tcBorders>
              <w:top w:val="nil"/>
              <w:left w:val="nil"/>
              <w:bottom w:val="single" w:sz="4" w:space="0" w:color="auto"/>
              <w:right w:val="single" w:sz="4" w:space="0" w:color="auto"/>
            </w:tcBorders>
            <w:vAlign w:val="center"/>
          </w:tcPr>
          <w:p w14:paraId="29EC8B94" w14:textId="017794BC" w:rsidR="00867B92" w:rsidRPr="00420F43" w:rsidRDefault="00867B92" w:rsidP="00774463">
            <w:pPr>
              <w:spacing w:after="0" w:line="240" w:lineRule="auto"/>
              <w:jc w:val="center"/>
              <w:rPr>
                <w:rFonts w:ascii="Arial" w:eastAsia="Times New Roman" w:hAnsi="Arial" w:cs="Arial"/>
                <w:color w:val="000000"/>
                <w:sz w:val="18"/>
                <w:szCs w:val="18"/>
                <w:lang w:eastAsia="en-GB"/>
              </w:rPr>
            </w:pPr>
            <w:r w:rsidRPr="00420F43">
              <w:rPr>
                <w:rFonts w:ascii="Arial" w:eastAsia="Times New Roman" w:hAnsi="Arial" w:cs="Arial"/>
                <w:color w:val="000000"/>
                <w:sz w:val="18"/>
                <w:szCs w:val="18"/>
                <w:lang w:eastAsia="en-GB"/>
              </w:rPr>
              <w:t xml:space="preserve">Ray, Harvey, Tye Green and Winter – 2  </w:t>
            </w:r>
          </w:p>
        </w:tc>
      </w:tr>
    </w:tbl>
    <w:bookmarkEnd w:id="21"/>
    <w:p w14:paraId="67BF0DD7" w14:textId="1DC3DB02" w:rsidR="000B050A" w:rsidRPr="00420F43" w:rsidRDefault="000B050A" w:rsidP="000B050A">
      <w:pPr>
        <w:spacing w:after="0"/>
        <w:rPr>
          <w:rFonts w:ascii="Arial" w:hAnsi="Arial" w:cs="Arial"/>
          <w:i/>
          <w:sz w:val="14"/>
          <w:szCs w:val="14"/>
        </w:rPr>
      </w:pPr>
      <w:r w:rsidRPr="00420F43">
        <w:rPr>
          <w:rFonts w:ascii="Arial" w:hAnsi="Arial" w:cs="Arial"/>
          <w:i/>
          <w:sz w:val="14"/>
          <w:szCs w:val="14"/>
        </w:rPr>
        <w:t>*</w:t>
      </w:r>
      <w:r w:rsidR="002344E1" w:rsidRPr="00420F43">
        <w:rPr>
          <w:rFonts w:ascii="Arial" w:hAnsi="Arial" w:cs="Arial"/>
          <w:i/>
          <w:sz w:val="14"/>
          <w:szCs w:val="14"/>
        </w:rPr>
        <w:t>Subject</w:t>
      </w:r>
      <w:r w:rsidRPr="00420F43">
        <w:rPr>
          <w:rFonts w:ascii="Arial" w:hAnsi="Arial" w:cs="Arial"/>
          <w:i/>
          <w:sz w:val="14"/>
          <w:szCs w:val="14"/>
        </w:rPr>
        <w:t xml:space="preserve"> to change following review at Falls Incident Oversight Group</w:t>
      </w:r>
    </w:p>
    <w:p w14:paraId="2782CD7E" w14:textId="77777777" w:rsidR="000B050A" w:rsidRPr="00037267" w:rsidRDefault="000B050A" w:rsidP="000B050A">
      <w:pPr>
        <w:spacing w:after="0"/>
        <w:rPr>
          <w:rFonts w:ascii="Arial" w:hAnsi="Arial" w:cs="Arial"/>
          <w:i/>
          <w:sz w:val="16"/>
          <w:szCs w:val="16"/>
        </w:rPr>
      </w:pPr>
    </w:p>
    <w:bookmarkEnd w:id="19"/>
    <w:p w14:paraId="79C7054B" w14:textId="6323103F" w:rsidR="00420F43" w:rsidRPr="00037267" w:rsidRDefault="00AD0401" w:rsidP="00F90952">
      <w:pPr>
        <w:spacing w:after="0"/>
        <w:rPr>
          <w:rFonts w:ascii="Arial" w:hAnsi="Arial" w:cs="Arial"/>
          <w:b/>
          <w:noProof/>
          <w:color w:val="005EB8"/>
        </w:rPr>
      </w:pPr>
      <w:r w:rsidRPr="00F0288C">
        <w:rPr>
          <w:rFonts w:ascii="Arial" w:hAnsi="Arial" w:cs="Arial"/>
          <w:b/>
          <w:noProof/>
          <w:color w:val="005EB8"/>
        </w:rPr>
        <w:t>Falls Rate per 1000 bed days</w:t>
      </w:r>
      <w:r w:rsidR="007306C2" w:rsidRPr="00F0288C">
        <w:rPr>
          <w:rFonts w:ascii="Arial" w:hAnsi="Arial" w:cs="Arial"/>
          <w:b/>
          <w:noProof/>
          <w:color w:val="005EB8"/>
        </w:rPr>
        <w:t xml:space="preserve"> </w:t>
      </w:r>
      <w:r w:rsidR="00CE13D7" w:rsidRPr="00F0288C">
        <w:rPr>
          <w:rFonts w:ascii="Arial" w:hAnsi="Arial" w:cs="Arial"/>
          <w:b/>
          <w:bCs/>
          <w:noProof/>
          <w:color w:val="005EB8"/>
        </w:rPr>
        <w:t>Dec</w:t>
      </w:r>
      <w:r w:rsidR="0057060E" w:rsidRPr="00F0288C">
        <w:rPr>
          <w:rFonts w:ascii="Arial" w:hAnsi="Arial" w:cs="Arial"/>
          <w:b/>
          <w:bCs/>
          <w:noProof/>
          <w:color w:val="005EB8"/>
        </w:rPr>
        <w:t>em</w:t>
      </w:r>
      <w:r w:rsidR="00236BE4" w:rsidRPr="00F0288C">
        <w:rPr>
          <w:rFonts w:ascii="Arial" w:hAnsi="Arial" w:cs="Arial"/>
          <w:b/>
          <w:noProof/>
          <w:color w:val="005EB8"/>
        </w:rPr>
        <w:t>ber</w:t>
      </w:r>
      <w:r w:rsidR="007306C2" w:rsidRPr="00F0288C">
        <w:rPr>
          <w:rFonts w:ascii="Arial" w:hAnsi="Arial" w:cs="Arial"/>
          <w:b/>
          <w:noProof/>
          <w:color w:val="005EB8"/>
        </w:rPr>
        <w:t xml:space="preserve"> 2025 data</w:t>
      </w:r>
    </w:p>
    <w:p w14:paraId="55D0A6BE" w14:textId="1C9221CD" w:rsidR="00422E89" w:rsidRPr="00037267" w:rsidRDefault="00422E89" w:rsidP="00F90952">
      <w:pPr>
        <w:spacing w:after="0"/>
        <w:rPr>
          <w:rFonts w:ascii="Arial" w:hAnsi="Arial" w:cs="Arial"/>
          <w:b/>
          <w:noProof/>
          <w:color w:val="005EB8"/>
        </w:rPr>
      </w:pPr>
    </w:p>
    <w:p w14:paraId="4099AD13" w14:textId="38C2D0D0" w:rsidR="007306C2" w:rsidRPr="00037267" w:rsidRDefault="00F0288C" w:rsidP="00F90952">
      <w:pPr>
        <w:spacing w:after="0"/>
        <w:rPr>
          <w:rFonts w:ascii="Arial" w:hAnsi="Arial" w:cs="Arial"/>
          <w:b/>
          <w:noProof/>
          <w:color w:val="005EB8"/>
        </w:rPr>
      </w:pPr>
      <w:r>
        <w:rPr>
          <w:rFonts w:ascii="Arial" w:hAnsi="Arial" w:cs="Arial"/>
          <w:b/>
          <w:noProof/>
          <w:color w:val="005EB8"/>
        </w:rPr>
        <w:drawing>
          <wp:inline distT="0" distB="0" distL="0" distR="0" wp14:anchorId="5C1A4223" wp14:editId="0C692526">
            <wp:extent cx="4779645" cy="2707005"/>
            <wp:effectExtent l="0" t="0" r="1905" b="0"/>
            <wp:docPr id="737954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79645" cy="2707005"/>
                    </a:xfrm>
                    <a:prstGeom prst="rect">
                      <a:avLst/>
                    </a:prstGeom>
                    <a:noFill/>
                  </pic:spPr>
                </pic:pic>
              </a:graphicData>
            </a:graphic>
          </wp:inline>
        </w:drawing>
      </w:r>
    </w:p>
    <w:p w14:paraId="5673D748" w14:textId="26BAF207" w:rsidR="007D6F8C" w:rsidRPr="00037267" w:rsidRDefault="00F0288C" w:rsidP="00F90952">
      <w:pPr>
        <w:spacing w:after="0"/>
        <w:rPr>
          <w:rFonts w:ascii="Arial" w:hAnsi="Arial" w:cs="Arial"/>
          <w:b/>
          <w:noProof/>
          <w:color w:val="005EB8"/>
        </w:rPr>
      </w:pPr>
      <w:r>
        <w:rPr>
          <w:rFonts w:ascii="Arial" w:hAnsi="Arial" w:cs="Arial"/>
          <w:b/>
          <w:noProof/>
          <w:color w:val="005EB8"/>
        </w:rPr>
        <w:lastRenderedPageBreak/>
        <w:drawing>
          <wp:inline distT="0" distB="0" distL="0" distR="0" wp14:anchorId="35F8CC35" wp14:editId="386C1DAB">
            <wp:extent cx="4803775" cy="2707005"/>
            <wp:effectExtent l="0" t="0" r="0" b="0"/>
            <wp:docPr id="8890776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3775" cy="2707005"/>
                    </a:xfrm>
                    <a:prstGeom prst="rect">
                      <a:avLst/>
                    </a:prstGeom>
                    <a:noFill/>
                  </pic:spPr>
                </pic:pic>
              </a:graphicData>
            </a:graphic>
          </wp:inline>
        </w:drawing>
      </w:r>
    </w:p>
    <w:p w14:paraId="51919EAA" w14:textId="77777777" w:rsidR="000C3FF8" w:rsidRPr="00037267" w:rsidRDefault="000C3FF8" w:rsidP="000B050A">
      <w:pPr>
        <w:spacing w:after="0"/>
        <w:rPr>
          <w:rFonts w:ascii="Arial" w:hAnsi="Arial" w:cs="Arial"/>
          <w:b/>
          <w:color w:val="005EB8"/>
          <w:highlight w:val="green"/>
        </w:rPr>
      </w:pPr>
    </w:p>
    <w:p w14:paraId="615EB875" w14:textId="5B2FBDCF" w:rsidR="000B050A" w:rsidRPr="008F18A3" w:rsidRDefault="000B050A" w:rsidP="000B050A">
      <w:pPr>
        <w:spacing w:after="0"/>
        <w:rPr>
          <w:rFonts w:ascii="Arial" w:hAnsi="Arial" w:cs="Arial"/>
          <w:b/>
          <w:color w:val="005EB8"/>
        </w:rPr>
      </w:pPr>
      <w:r w:rsidRPr="008F18A3">
        <w:rPr>
          <w:rFonts w:ascii="Arial" w:hAnsi="Arial" w:cs="Arial"/>
          <w:b/>
          <w:color w:val="005EB8"/>
        </w:rPr>
        <w:t>Pressure Ulcers</w:t>
      </w:r>
    </w:p>
    <w:p w14:paraId="09D74A15" w14:textId="77777777" w:rsidR="000B050A" w:rsidRPr="007B06B3" w:rsidRDefault="000B050A" w:rsidP="000B050A">
      <w:pPr>
        <w:spacing w:after="0"/>
        <w:rPr>
          <w:rFonts w:ascii="Arial" w:hAnsi="Arial" w:cs="Arial"/>
          <w:color w:val="005EB8"/>
        </w:rPr>
      </w:pPr>
    </w:p>
    <w:p w14:paraId="2341B87C" w14:textId="77777777" w:rsidR="000B050A" w:rsidRPr="007B06B3" w:rsidRDefault="000B050A" w:rsidP="000B050A">
      <w:pPr>
        <w:spacing w:after="0"/>
        <w:rPr>
          <w:rFonts w:ascii="Arial" w:hAnsi="Arial" w:cs="Arial"/>
          <w:b/>
          <w:color w:val="005EB8"/>
        </w:rPr>
      </w:pPr>
      <w:r w:rsidRPr="007B06B3">
        <w:rPr>
          <w:rFonts w:ascii="Arial" w:hAnsi="Arial" w:cs="Arial"/>
          <w:b/>
          <w:color w:val="005EB8"/>
        </w:rPr>
        <w:t>Table 2</w:t>
      </w:r>
      <w:r w:rsidR="00EA2C67" w:rsidRPr="007B06B3">
        <w:rPr>
          <w:rFonts w:ascii="Arial" w:hAnsi="Arial" w:cs="Arial"/>
          <w:b/>
          <w:color w:val="005EB8"/>
        </w:rPr>
        <w:t>a</w:t>
      </w:r>
      <w:r w:rsidRPr="007B06B3">
        <w:rPr>
          <w:rFonts w:ascii="Arial" w:hAnsi="Arial" w:cs="Arial"/>
          <w:b/>
          <w:color w:val="005EB8"/>
        </w:rPr>
        <w:t xml:space="preserve">. Number of Hospital Acquired Pressure Ulcers (HAPU) Cat 2 and Cat 3 Pressure Ulcers  </w:t>
      </w:r>
    </w:p>
    <w:p w14:paraId="6C287AD3" w14:textId="4BF88F19" w:rsidR="00085114" w:rsidRPr="007B06B3" w:rsidRDefault="003E414B" w:rsidP="00A25A23">
      <w:pPr>
        <w:spacing w:after="0"/>
        <w:jc w:val="both"/>
        <w:rPr>
          <w:rFonts w:ascii="Arial" w:hAnsi="Arial" w:cs="Arial"/>
          <w:bCs/>
          <w:noProof/>
        </w:rPr>
      </w:pPr>
      <w:r w:rsidRPr="007B06B3">
        <w:rPr>
          <w:rFonts w:ascii="Arial" w:hAnsi="Arial" w:cs="Arial"/>
          <w:bCs/>
          <w:noProof/>
        </w:rPr>
        <w:drawing>
          <wp:inline distT="0" distB="0" distL="0" distR="0" wp14:anchorId="1044F638" wp14:editId="47F259C5">
            <wp:extent cx="5679440" cy="2478757"/>
            <wp:effectExtent l="0" t="0" r="0" b="0"/>
            <wp:docPr id="970425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91219" cy="2483898"/>
                    </a:xfrm>
                    <a:prstGeom prst="rect">
                      <a:avLst/>
                    </a:prstGeom>
                    <a:noFill/>
                  </pic:spPr>
                </pic:pic>
              </a:graphicData>
            </a:graphic>
          </wp:inline>
        </w:drawing>
      </w:r>
    </w:p>
    <w:p w14:paraId="089BEE7D" w14:textId="77777777" w:rsidR="00BA53CE" w:rsidRPr="007B06B3" w:rsidRDefault="00BA53CE" w:rsidP="00A25A23">
      <w:pPr>
        <w:spacing w:after="0"/>
        <w:jc w:val="both"/>
        <w:rPr>
          <w:rFonts w:ascii="Arial" w:hAnsi="Arial" w:cs="Arial"/>
          <w:bdr w:val="none" w:sz="0" w:space="0" w:color="auto" w:frame="1"/>
          <w:lang w:val="en-US"/>
        </w:rPr>
      </w:pPr>
    </w:p>
    <w:tbl>
      <w:tblPr>
        <w:tblStyle w:val="TableGrid"/>
        <w:tblW w:w="0" w:type="auto"/>
        <w:tblLook w:val="04A0" w:firstRow="1" w:lastRow="0" w:firstColumn="1" w:lastColumn="0" w:noHBand="0" w:noVBand="1"/>
      </w:tblPr>
      <w:tblGrid>
        <w:gridCol w:w="2366"/>
        <w:gridCol w:w="2366"/>
        <w:gridCol w:w="2366"/>
        <w:gridCol w:w="2367"/>
      </w:tblGrid>
      <w:tr w:rsidR="000B050A" w:rsidRPr="007B06B3" w14:paraId="69F7146C" w14:textId="77777777" w:rsidTr="000C3FF8">
        <w:trPr>
          <w:trHeight w:val="466"/>
        </w:trPr>
        <w:tc>
          <w:tcPr>
            <w:tcW w:w="2366" w:type="dxa"/>
            <w:tcBorders>
              <w:bottom w:val="single" w:sz="4" w:space="0" w:color="auto"/>
            </w:tcBorders>
            <w:shd w:val="clear" w:color="auto" w:fill="BDD6EE" w:themeFill="accent5" w:themeFillTint="66"/>
            <w:vAlign w:val="center"/>
          </w:tcPr>
          <w:p w14:paraId="2470172F" w14:textId="33C27AF5" w:rsidR="000B050A" w:rsidRPr="007B06B3"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hAnsi="Arial" w:cs="Arial"/>
                <w:sz w:val="22"/>
                <w:szCs w:val="22"/>
                <w:bdr w:val="none" w:sz="0" w:space="0" w:color="auto" w:frame="1"/>
                <w:lang w:val="en-US"/>
              </w:rPr>
              <w:t xml:space="preserve"> </w:t>
            </w:r>
            <w:r w:rsidRPr="007B06B3">
              <w:rPr>
                <w:rFonts w:ascii="Arial" w:eastAsia="Times New Roman" w:hAnsi="Arial" w:cs="Arial"/>
                <w:color w:val="000000"/>
                <w:sz w:val="22"/>
                <w:szCs w:val="22"/>
                <w:lang w:eastAsia="en-GB"/>
              </w:rPr>
              <w:t>Total in month</w:t>
            </w:r>
          </w:p>
        </w:tc>
        <w:tc>
          <w:tcPr>
            <w:tcW w:w="7099" w:type="dxa"/>
            <w:gridSpan w:val="3"/>
            <w:tcBorders>
              <w:bottom w:val="single" w:sz="4" w:space="0" w:color="auto"/>
            </w:tcBorders>
            <w:shd w:val="clear" w:color="auto" w:fill="BDD6EE" w:themeFill="accent5" w:themeFillTint="66"/>
            <w:vAlign w:val="center"/>
          </w:tcPr>
          <w:p w14:paraId="7B36375E" w14:textId="77777777" w:rsidR="000B050A" w:rsidRPr="007B06B3" w:rsidRDefault="000B050A" w:rsidP="005107A6">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eastAsia="Times New Roman" w:hAnsi="Arial" w:cs="Arial"/>
                <w:color w:val="000000"/>
                <w:sz w:val="22"/>
                <w:szCs w:val="22"/>
                <w:lang w:eastAsia="en-GB"/>
              </w:rPr>
              <w:t>Top 3 wards</w:t>
            </w:r>
          </w:p>
        </w:tc>
      </w:tr>
      <w:tr w:rsidR="00085114" w:rsidRPr="007B06B3" w14:paraId="2561D47E" w14:textId="77777777" w:rsidTr="000C3FF8">
        <w:trPr>
          <w:trHeight w:val="317"/>
        </w:trPr>
        <w:tc>
          <w:tcPr>
            <w:tcW w:w="2366" w:type="dxa"/>
            <w:tcBorders>
              <w:top w:val="single" w:sz="4" w:space="0" w:color="auto"/>
              <w:left w:val="single" w:sz="4" w:space="0" w:color="auto"/>
              <w:bottom w:val="single" w:sz="4" w:space="0" w:color="auto"/>
              <w:right w:val="single" w:sz="4" w:space="0" w:color="auto"/>
            </w:tcBorders>
            <w:vAlign w:val="center"/>
          </w:tcPr>
          <w:p w14:paraId="46D75611" w14:textId="154CB7F5" w:rsidR="00085114" w:rsidRPr="007B06B3" w:rsidRDefault="003E414B" w:rsidP="006C37C9">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hAnsi="Arial" w:cs="Arial"/>
                <w:sz w:val="22"/>
                <w:szCs w:val="22"/>
                <w:bdr w:val="none" w:sz="0" w:space="0" w:color="auto" w:frame="1"/>
              </w:rPr>
              <w:t>24</w:t>
            </w:r>
          </w:p>
        </w:tc>
        <w:tc>
          <w:tcPr>
            <w:tcW w:w="2366" w:type="dxa"/>
            <w:tcBorders>
              <w:top w:val="single" w:sz="4" w:space="0" w:color="auto"/>
              <w:left w:val="single" w:sz="4" w:space="0" w:color="auto"/>
              <w:bottom w:val="single" w:sz="4" w:space="0" w:color="auto"/>
              <w:right w:val="single" w:sz="4" w:space="0" w:color="auto"/>
            </w:tcBorders>
            <w:vAlign w:val="center"/>
          </w:tcPr>
          <w:p w14:paraId="4E0D940E" w14:textId="37CF09BA" w:rsidR="00085114" w:rsidRPr="007B06B3"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hAnsi="Arial" w:cs="Arial"/>
                <w:sz w:val="22"/>
                <w:szCs w:val="22"/>
                <w:bdr w:val="none" w:sz="0" w:space="0" w:color="auto" w:frame="1"/>
              </w:rPr>
              <w:t xml:space="preserve">ITU – </w:t>
            </w:r>
            <w:r w:rsidR="003E414B" w:rsidRPr="007B06B3">
              <w:rPr>
                <w:rFonts w:ascii="Arial" w:hAnsi="Arial" w:cs="Arial"/>
                <w:sz w:val="22"/>
                <w:szCs w:val="22"/>
                <w:bdr w:val="none" w:sz="0" w:space="0" w:color="auto" w:frame="1"/>
              </w:rPr>
              <w:t>6</w:t>
            </w:r>
          </w:p>
        </w:tc>
        <w:tc>
          <w:tcPr>
            <w:tcW w:w="2366" w:type="dxa"/>
            <w:tcBorders>
              <w:top w:val="single" w:sz="4" w:space="0" w:color="auto"/>
              <w:left w:val="single" w:sz="4" w:space="0" w:color="auto"/>
              <w:bottom w:val="single" w:sz="4" w:space="0" w:color="auto"/>
              <w:right w:val="single" w:sz="4" w:space="0" w:color="auto"/>
            </w:tcBorders>
            <w:vAlign w:val="center"/>
          </w:tcPr>
          <w:p w14:paraId="79F5BAAB" w14:textId="648E4AF7" w:rsidR="00085114" w:rsidRPr="007B06B3" w:rsidRDefault="00F53A22" w:rsidP="006C37C9">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hAnsi="Arial" w:cs="Arial"/>
                <w:sz w:val="22"/>
                <w:szCs w:val="22"/>
                <w:bdr w:val="none" w:sz="0" w:space="0" w:color="auto" w:frame="1"/>
              </w:rPr>
              <w:t xml:space="preserve">Tye Green – </w:t>
            </w:r>
            <w:r w:rsidR="003E414B" w:rsidRPr="007B06B3">
              <w:rPr>
                <w:rFonts w:ascii="Arial" w:hAnsi="Arial" w:cs="Arial"/>
                <w:sz w:val="22"/>
                <w:szCs w:val="22"/>
                <w:bdr w:val="none" w:sz="0" w:space="0" w:color="auto" w:frame="1"/>
              </w:rPr>
              <w:t>5</w:t>
            </w:r>
            <w:r w:rsidRPr="007B06B3">
              <w:rPr>
                <w:rFonts w:ascii="Arial" w:hAnsi="Arial" w:cs="Arial"/>
                <w:sz w:val="22"/>
                <w:szCs w:val="22"/>
                <w:bdr w:val="none" w:sz="0" w:space="0" w:color="auto" w:frame="1"/>
              </w:rPr>
              <w:t xml:space="preserve"> </w:t>
            </w:r>
            <w:r w:rsidR="00B61096" w:rsidRPr="007B06B3">
              <w:rPr>
                <w:rFonts w:ascii="Arial" w:hAnsi="Arial" w:cs="Arial"/>
                <w:sz w:val="22"/>
                <w:szCs w:val="22"/>
                <w:bdr w:val="none" w:sz="0" w:space="0" w:color="auto" w:frame="1"/>
              </w:rPr>
              <w:t xml:space="preserve">  </w:t>
            </w:r>
          </w:p>
        </w:tc>
        <w:tc>
          <w:tcPr>
            <w:tcW w:w="2367" w:type="dxa"/>
            <w:tcBorders>
              <w:top w:val="single" w:sz="4" w:space="0" w:color="auto"/>
              <w:left w:val="single" w:sz="4" w:space="0" w:color="auto"/>
              <w:bottom w:val="single" w:sz="4" w:space="0" w:color="auto"/>
              <w:right w:val="single" w:sz="4" w:space="0" w:color="auto"/>
            </w:tcBorders>
            <w:vAlign w:val="center"/>
          </w:tcPr>
          <w:p w14:paraId="63072D4D" w14:textId="2C99F75A" w:rsidR="00085114" w:rsidRPr="007B06B3" w:rsidRDefault="003E414B" w:rsidP="006C37C9">
            <w:pPr>
              <w:pStyle w:val="NormalWeb"/>
              <w:spacing w:before="0" w:beforeAutospacing="0" w:after="0" w:afterAutospacing="0"/>
              <w:jc w:val="center"/>
              <w:rPr>
                <w:rFonts w:ascii="Arial" w:hAnsi="Arial" w:cs="Arial"/>
                <w:sz w:val="22"/>
                <w:szCs w:val="22"/>
                <w:bdr w:val="none" w:sz="0" w:space="0" w:color="auto" w:frame="1"/>
              </w:rPr>
            </w:pPr>
            <w:r w:rsidRPr="007B06B3">
              <w:rPr>
                <w:rFonts w:ascii="Arial" w:hAnsi="Arial" w:cs="Arial"/>
                <w:sz w:val="20"/>
                <w:szCs w:val="20"/>
                <w:bdr w:val="none" w:sz="0" w:space="0" w:color="auto" w:frame="1"/>
              </w:rPr>
              <w:t>Kingsmoor and Ray</w:t>
            </w:r>
            <w:r w:rsidR="00F53A22" w:rsidRPr="007B06B3">
              <w:rPr>
                <w:rFonts w:ascii="Arial" w:hAnsi="Arial" w:cs="Arial"/>
                <w:sz w:val="20"/>
                <w:szCs w:val="20"/>
                <w:bdr w:val="none" w:sz="0" w:space="0" w:color="auto" w:frame="1"/>
              </w:rPr>
              <w:t xml:space="preserve"> – </w:t>
            </w:r>
            <w:r w:rsidRPr="007B06B3">
              <w:rPr>
                <w:rFonts w:ascii="Arial" w:hAnsi="Arial" w:cs="Arial"/>
                <w:sz w:val="20"/>
                <w:szCs w:val="20"/>
                <w:bdr w:val="none" w:sz="0" w:space="0" w:color="auto" w:frame="1"/>
              </w:rPr>
              <w:t>3</w:t>
            </w:r>
            <w:r w:rsidR="00F53A22" w:rsidRPr="007B06B3">
              <w:rPr>
                <w:rFonts w:ascii="Arial" w:hAnsi="Arial" w:cs="Arial"/>
                <w:sz w:val="20"/>
                <w:szCs w:val="20"/>
                <w:bdr w:val="none" w:sz="0" w:space="0" w:color="auto" w:frame="1"/>
              </w:rPr>
              <w:t xml:space="preserve"> </w:t>
            </w:r>
            <w:r w:rsidR="00B61096" w:rsidRPr="007B06B3">
              <w:rPr>
                <w:rFonts w:ascii="Arial" w:hAnsi="Arial" w:cs="Arial"/>
                <w:sz w:val="20"/>
                <w:szCs w:val="20"/>
                <w:bdr w:val="none" w:sz="0" w:space="0" w:color="auto" w:frame="1"/>
              </w:rPr>
              <w:t xml:space="preserve"> </w:t>
            </w:r>
          </w:p>
        </w:tc>
      </w:tr>
    </w:tbl>
    <w:p w14:paraId="5605245B" w14:textId="77777777" w:rsidR="00C27C2E" w:rsidRPr="007B06B3" w:rsidRDefault="00C27C2E" w:rsidP="00F90952">
      <w:pPr>
        <w:spacing w:after="0"/>
        <w:rPr>
          <w:rFonts w:ascii="Arial" w:hAnsi="Arial" w:cs="Arial"/>
          <w:b/>
          <w:color w:val="005EB8"/>
        </w:rPr>
      </w:pPr>
    </w:p>
    <w:p w14:paraId="65154CC8" w14:textId="77777777" w:rsidR="00BA53CE" w:rsidRPr="007B06B3" w:rsidRDefault="00BA53CE" w:rsidP="00F90952">
      <w:pPr>
        <w:spacing w:after="0"/>
        <w:rPr>
          <w:rFonts w:ascii="Arial" w:hAnsi="Arial" w:cs="Arial"/>
          <w:b/>
          <w:color w:val="005EB8"/>
        </w:rPr>
      </w:pPr>
    </w:p>
    <w:p w14:paraId="212D1E9C" w14:textId="77777777" w:rsidR="00BA53CE" w:rsidRPr="007B06B3" w:rsidRDefault="00BA53CE" w:rsidP="00F90952">
      <w:pPr>
        <w:spacing w:after="0"/>
        <w:rPr>
          <w:rFonts w:ascii="Arial" w:hAnsi="Arial" w:cs="Arial"/>
          <w:b/>
          <w:color w:val="005EB8"/>
        </w:rPr>
      </w:pPr>
    </w:p>
    <w:p w14:paraId="13C326EC" w14:textId="77777777" w:rsidR="00BA53CE" w:rsidRPr="007B06B3" w:rsidRDefault="00BA53CE" w:rsidP="00F90952">
      <w:pPr>
        <w:spacing w:after="0"/>
        <w:rPr>
          <w:rFonts w:ascii="Arial" w:hAnsi="Arial" w:cs="Arial"/>
          <w:b/>
          <w:color w:val="005EB8"/>
        </w:rPr>
      </w:pPr>
    </w:p>
    <w:p w14:paraId="11299757" w14:textId="77777777" w:rsidR="00BA53CE" w:rsidRPr="007B06B3" w:rsidRDefault="00BA53CE" w:rsidP="00F90952">
      <w:pPr>
        <w:spacing w:after="0"/>
        <w:rPr>
          <w:rFonts w:ascii="Arial" w:hAnsi="Arial" w:cs="Arial"/>
          <w:b/>
          <w:color w:val="005EB8"/>
        </w:rPr>
      </w:pPr>
    </w:p>
    <w:p w14:paraId="1FF88881" w14:textId="77777777" w:rsidR="00BA53CE" w:rsidRPr="007B06B3" w:rsidRDefault="00BA53CE" w:rsidP="00F90952">
      <w:pPr>
        <w:spacing w:after="0"/>
        <w:rPr>
          <w:rFonts w:ascii="Arial" w:hAnsi="Arial" w:cs="Arial"/>
          <w:b/>
          <w:color w:val="005EB8"/>
        </w:rPr>
      </w:pPr>
    </w:p>
    <w:p w14:paraId="4C8ACCB6" w14:textId="2B6EE36B" w:rsidR="00F90952" w:rsidRPr="007B06B3" w:rsidRDefault="00EA2C67" w:rsidP="00F90952">
      <w:pPr>
        <w:spacing w:after="0"/>
        <w:rPr>
          <w:rFonts w:ascii="Arial" w:hAnsi="Arial" w:cs="Arial"/>
          <w:b/>
          <w:color w:val="005EB8"/>
        </w:rPr>
      </w:pPr>
      <w:r w:rsidRPr="007B06B3">
        <w:rPr>
          <w:rFonts w:ascii="Arial" w:hAnsi="Arial" w:cs="Arial"/>
          <w:b/>
          <w:color w:val="005EB8"/>
        </w:rPr>
        <w:t xml:space="preserve">Table 2b. </w:t>
      </w:r>
      <w:r w:rsidR="00FC7B8B" w:rsidRPr="007B06B3">
        <w:rPr>
          <w:rFonts w:ascii="Arial" w:hAnsi="Arial" w:cs="Arial"/>
          <w:b/>
          <w:color w:val="005EB8"/>
        </w:rPr>
        <w:t xml:space="preserve">Reported Incidents and </w:t>
      </w:r>
      <w:r w:rsidRPr="007B06B3">
        <w:rPr>
          <w:rFonts w:ascii="Arial" w:hAnsi="Arial" w:cs="Arial"/>
          <w:b/>
          <w:color w:val="005EB8"/>
        </w:rPr>
        <w:t>A</w:t>
      </w:r>
      <w:r w:rsidR="00FC7B8B" w:rsidRPr="007B06B3">
        <w:rPr>
          <w:rFonts w:ascii="Arial" w:hAnsi="Arial" w:cs="Arial"/>
          <w:b/>
          <w:color w:val="005EB8"/>
        </w:rPr>
        <w:t xml:space="preserve">ctual Hospital Acquired Pressure Ulcers </w:t>
      </w:r>
      <w:r w:rsidR="00CE13D7" w:rsidRPr="007B06B3">
        <w:rPr>
          <w:rFonts w:ascii="Arial" w:hAnsi="Arial" w:cs="Arial"/>
          <w:b/>
          <w:bCs/>
          <w:color w:val="005EB8"/>
        </w:rPr>
        <w:t>Dec</w:t>
      </w:r>
      <w:r w:rsidR="0057060E" w:rsidRPr="007B06B3">
        <w:rPr>
          <w:rFonts w:ascii="Arial" w:hAnsi="Arial" w:cs="Arial"/>
          <w:b/>
          <w:bCs/>
          <w:color w:val="005EB8"/>
        </w:rPr>
        <w:t>em</w:t>
      </w:r>
      <w:r w:rsidR="00061918" w:rsidRPr="007B06B3">
        <w:rPr>
          <w:rFonts w:ascii="Arial" w:hAnsi="Arial" w:cs="Arial"/>
          <w:b/>
          <w:color w:val="005EB8"/>
        </w:rPr>
        <w:t>ber</w:t>
      </w:r>
      <w:r w:rsidR="00FC7B8B" w:rsidRPr="007B06B3">
        <w:rPr>
          <w:rFonts w:ascii="Arial" w:hAnsi="Arial" w:cs="Arial"/>
          <w:b/>
          <w:color w:val="005EB8"/>
        </w:rPr>
        <w:t xml:space="preserve"> 2025</w:t>
      </w:r>
    </w:p>
    <w:p w14:paraId="27612756" w14:textId="7AB90A47" w:rsidR="008F6AED" w:rsidRPr="007B06B3" w:rsidRDefault="003E414B" w:rsidP="00F90952">
      <w:pPr>
        <w:spacing w:after="0"/>
        <w:rPr>
          <w:rFonts w:ascii="Arial" w:hAnsi="Arial" w:cs="Arial"/>
          <w:b/>
          <w:color w:val="005EB8"/>
        </w:rPr>
      </w:pPr>
      <w:r w:rsidRPr="007B06B3">
        <w:rPr>
          <w:rFonts w:ascii="Arial" w:hAnsi="Arial" w:cs="Arial"/>
          <w:b/>
          <w:noProof/>
          <w:color w:val="005EB8"/>
        </w:rPr>
        <w:lastRenderedPageBreak/>
        <w:drawing>
          <wp:inline distT="0" distB="0" distL="0" distR="0" wp14:anchorId="01FAE630" wp14:editId="0A2862DE">
            <wp:extent cx="5257489" cy="3295650"/>
            <wp:effectExtent l="0" t="0" r="635" b="0"/>
            <wp:docPr id="906220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65695" cy="3300794"/>
                    </a:xfrm>
                    <a:prstGeom prst="rect">
                      <a:avLst/>
                    </a:prstGeom>
                    <a:noFill/>
                  </pic:spPr>
                </pic:pic>
              </a:graphicData>
            </a:graphic>
          </wp:inline>
        </w:drawing>
      </w:r>
    </w:p>
    <w:p w14:paraId="1523EA19" w14:textId="6B3EE43D" w:rsidR="00C27C2E" w:rsidRPr="007B06B3" w:rsidRDefault="00C27C2E" w:rsidP="00E74C5B">
      <w:pPr>
        <w:spacing w:after="0"/>
        <w:rPr>
          <w:rFonts w:ascii="Arial" w:hAnsi="Arial" w:cs="Arial"/>
          <w:b/>
          <w:color w:val="005EB8"/>
        </w:rPr>
      </w:pPr>
      <w:bookmarkStart w:id="22" w:name="_Hlk169590588"/>
    </w:p>
    <w:p w14:paraId="2DE73E03" w14:textId="306494BF" w:rsidR="000546AE" w:rsidRPr="007B06B3" w:rsidRDefault="000546AE" w:rsidP="000F5154">
      <w:pPr>
        <w:spacing w:after="0"/>
        <w:jc w:val="both"/>
        <w:rPr>
          <w:rFonts w:ascii="Arial" w:hAnsi="Arial" w:cs="Arial"/>
          <w:noProof/>
        </w:rPr>
      </w:pPr>
      <w:r w:rsidRPr="007B06B3">
        <w:rPr>
          <w:rFonts w:ascii="Arial" w:hAnsi="Arial" w:cs="Arial"/>
          <w:b/>
          <w:noProof/>
          <w:color w:val="005EB8"/>
        </w:rPr>
        <w:t>Complaints, PALS and Compliments Trend</w:t>
      </w:r>
      <w:r w:rsidR="00B34525" w:rsidRPr="007B06B3">
        <w:rPr>
          <w:rFonts w:ascii="Arial" w:hAnsi="Arial" w:cs="Arial"/>
          <w:b/>
          <w:noProof/>
          <w:color w:val="005EB8"/>
        </w:rPr>
        <w:t xml:space="preserve"> Data</w:t>
      </w:r>
      <w:r w:rsidR="00DF46C8" w:rsidRPr="007B06B3">
        <w:rPr>
          <w:rFonts w:ascii="Arial" w:hAnsi="Arial" w:cs="Arial"/>
          <w:b/>
          <w:noProof/>
          <w:color w:val="005EB8"/>
        </w:rPr>
        <w:t xml:space="preserve"> </w:t>
      </w:r>
      <w:r w:rsidR="00CB6E76" w:rsidRPr="007B06B3">
        <w:rPr>
          <w:rFonts w:ascii="Arial" w:hAnsi="Arial" w:cs="Arial"/>
          <w:b/>
          <w:noProof/>
          <w:color w:val="005EB8"/>
        </w:rPr>
        <w:t>July</w:t>
      </w:r>
      <w:r w:rsidR="00992FCA" w:rsidRPr="007B06B3">
        <w:rPr>
          <w:rFonts w:ascii="Arial" w:hAnsi="Arial" w:cs="Arial"/>
          <w:b/>
          <w:noProof/>
          <w:color w:val="005EB8"/>
        </w:rPr>
        <w:t xml:space="preserve"> 2025</w:t>
      </w:r>
      <w:r w:rsidR="00DF46C8" w:rsidRPr="007B06B3">
        <w:rPr>
          <w:rFonts w:ascii="Arial" w:hAnsi="Arial" w:cs="Arial"/>
          <w:b/>
          <w:noProof/>
          <w:color w:val="005EB8"/>
        </w:rPr>
        <w:t xml:space="preserve"> –</w:t>
      </w:r>
      <w:r w:rsidR="00C15C78" w:rsidRPr="007B06B3">
        <w:rPr>
          <w:rFonts w:ascii="Arial" w:hAnsi="Arial" w:cs="Arial"/>
          <w:b/>
          <w:noProof/>
          <w:color w:val="005EB8"/>
        </w:rPr>
        <w:t xml:space="preserve"> </w:t>
      </w:r>
      <w:r w:rsidR="00CE13D7" w:rsidRPr="007B06B3">
        <w:rPr>
          <w:rFonts w:ascii="Arial" w:hAnsi="Arial" w:cs="Arial"/>
          <w:b/>
          <w:bCs/>
          <w:noProof/>
          <w:color w:val="005EB8"/>
        </w:rPr>
        <w:t>Dec</w:t>
      </w:r>
      <w:r w:rsidR="0057060E" w:rsidRPr="007B06B3">
        <w:rPr>
          <w:rFonts w:ascii="Arial" w:hAnsi="Arial" w:cs="Arial"/>
          <w:b/>
          <w:bCs/>
          <w:noProof/>
          <w:color w:val="005EB8"/>
        </w:rPr>
        <w:t>em</w:t>
      </w:r>
      <w:r w:rsidR="00816127" w:rsidRPr="007B06B3">
        <w:rPr>
          <w:rFonts w:ascii="Arial" w:hAnsi="Arial" w:cs="Arial"/>
          <w:b/>
          <w:noProof/>
          <w:color w:val="005EB8"/>
        </w:rPr>
        <w:t>ber</w:t>
      </w:r>
      <w:r w:rsidR="00C15C78" w:rsidRPr="007B06B3">
        <w:rPr>
          <w:rFonts w:ascii="Arial" w:hAnsi="Arial" w:cs="Arial"/>
          <w:b/>
          <w:noProof/>
          <w:color w:val="005EB8"/>
        </w:rPr>
        <w:t xml:space="preserve"> </w:t>
      </w:r>
      <w:r w:rsidR="00DF46C8" w:rsidRPr="007B06B3">
        <w:rPr>
          <w:rFonts w:ascii="Arial" w:hAnsi="Arial" w:cs="Arial"/>
          <w:b/>
          <w:noProof/>
          <w:color w:val="005EB8"/>
        </w:rPr>
        <w:t>2025</w:t>
      </w:r>
    </w:p>
    <w:bookmarkEnd w:id="22"/>
    <w:p w14:paraId="1B42D3AE" w14:textId="77777777" w:rsidR="002029D8" w:rsidRPr="007B06B3" w:rsidRDefault="002029D8" w:rsidP="00BB37E1">
      <w:pPr>
        <w:spacing w:after="0"/>
        <w:rPr>
          <w:rFonts w:ascii="Arial" w:hAnsi="Arial" w:cs="Arial"/>
          <w:i/>
          <w:sz w:val="18"/>
          <w:szCs w:val="18"/>
        </w:rPr>
      </w:pPr>
      <w:r w:rsidRPr="007B06B3">
        <w:rPr>
          <w:rFonts w:ascii="Arial" w:hAnsi="Arial" w:cs="Arial"/>
          <w:i/>
          <w:sz w:val="18"/>
          <w:szCs w:val="18"/>
        </w:rPr>
        <w:t xml:space="preserve"> </w:t>
      </w:r>
    </w:p>
    <w:p w14:paraId="6DBF84D6" w14:textId="35A4B699" w:rsidR="00817935" w:rsidRPr="007B06B3" w:rsidRDefault="00CB6E76" w:rsidP="00BB37E1">
      <w:pPr>
        <w:spacing w:after="0"/>
        <w:rPr>
          <w:rFonts w:ascii="Arial" w:hAnsi="Arial" w:cs="Arial"/>
          <w:i/>
          <w:sz w:val="18"/>
          <w:szCs w:val="18"/>
        </w:rPr>
      </w:pPr>
      <w:r w:rsidRPr="007B06B3">
        <w:rPr>
          <w:rFonts w:ascii="Arial" w:hAnsi="Arial" w:cs="Arial"/>
          <w:i/>
          <w:noProof/>
          <w:sz w:val="18"/>
          <w:szCs w:val="18"/>
        </w:rPr>
        <w:drawing>
          <wp:inline distT="0" distB="0" distL="0" distR="0" wp14:anchorId="1991D482" wp14:editId="6C41940C">
            <wp:extent cx="5226050" cy="3111642"/>
            <wp:effectExtent l="0" t="0" r="0" b="0"/>
            <wp:docPr id="442500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36272" cy="3117728"/>
                    </a:xfrm>
                    <a:prstGeom prst="rect">
                      <a:avLst/>
                    </a:prstGeom>
                    <a:noFill/>
                  </pic:spPr>
                </pic:pic>
              </a:graphicData>
            </a:graphic>
          </wp:inline>
        </w:drawing>
      </w:r>
    </w:p>
    <w:p w14:paraId="166667D2" w14:textId="77777777" w:rsidR="00C27C2E" w:rsidRPr="007B06B3" w:rsidRDefault="00C27C2E" w:rsidP="005212A9">
      <w:pPr>
        <w:spacing w:after="0"/>
        <w:rPr>
          <w:rFonts w:ascii="Arial" w:hAnsi="Arial" w:cs="Arial"/>
          <w:b/>
          <w:color w:val="005EB8"/>
        </w:rPr>
      </w:pPr>
    </w:p>
    <w:p w14:paraId="2BCB8E91" w14:textId="45BAF1DA" w:rsidR="00C93C29" w:rsidRPr="007B06B3" w:rsidRDefault="005212A9" w:rsidP="00E74C5B">
      <w:pPr>
        <w:spacing w:after="0"/>
        <w:rPr>
          <w:rFonts w:ascii="Arial" w:hAnsi="Arial" w:cs="Arial"/>
          <w:bdr w:val="none" w:sz="0" w:space="0" w:color="auto" w:frame="1"/>
        </w:rPr>
      </w:pPr>
      <w:r w:rsidRPr="007B06B3">
        <w:rPr>
          <w:rFonts w:ascii="Arial" w:hAnsi="Arial" w:cs="Arial"/>
          <w:b/>
          <w:color w:val="005EB8"/>
        </w:rPr>
        <w:t xml:space="preserve">Table </w:t>
      </w:r>
      <w:r w:rsidR="00ED1BA6" w:rsidRPr="007B06B3">
        <w:rPr>
          <w:rFonts w:ascii="Arial" w:hAnsi="Arial" w:cs="Arial"/>
          <w:b/>
          <w:color w:val="005EB8"/>
        </w:rPr>
        <w:t>3</w:t>
      </w:r>
      <w:r w:rsidRPr="007B06B3">
        <w:rPr>
          <w:rFonts w:ascii="Arial" w:hAnsi="Arial" w:cs="Arial"/>
          <w:b/>
          <w:color w:val="005EB8"/>
        </w:rPr>
        <w:t xml:space="preserve">. Number of new Complaints, PALS and Compliments in </w:t>
      </w:r>
      <w:r w:rsidR="00CE13D7" w:rsidRPr="007B06B3">
        <w:rPr>
          <w:rFonts w:ascii="Arial" w:hAnsi="Arial" w:cs="Arial"/>
          <w:b/>
          <w:color w:val="005EB8"/>
        </w:rPr>
        <w:t>Dec</w:t>
      </w:r>
      <w:r w:rsidR="0057060E" w:rsidRPr="007B06B3">
        <w:rPr>
          <w:rFonts w:ascii="Arial" w:hAnsi="Arial" w:cs="Arial"/>
          <w:b/>
          <w:bCs/>
          <w:color w:val="005EB8"/>
        </w:rPr>
        <w:t>em</w:t>
      </w:r>
      <w:r w:rsidR="00816127" w:rsidRPr="007B06B3">
        <w:rPr>
          <w:rFonts w:ascii="Arial" w:hAnsi="Arial" w:cs="Arial"/>
          <w:b/>
          <w:color w:val="005EB8"/>
        </w:rPr>
        <w:t xml:space="preserve">ber </w:t>
      </w:r>
      <w:r w:rsidR="00F957BE" w:rsidRPr="007B06B3">
        <w:rPr>
          <w:rFonts w:ascii="Arial" w:hAnsi="Arial" w:cs="Arial"/>
          <w:b/>
          <w:color w:val="005EB8"/>
        </w:rPr>
        <w:t>2025</w:t>
      </w:r>
      <w:r w:rsidRPr="007B06B3">
        <w:rPr>
          <w:rFonts w:ascii="Arial" w:hAnsi="Arial" w:cs="Arial"/>
          <w:b/>
          <w:color w:val="005EB8"/>
        </w:rPr>
        <w:t xml:space="preserve"> with top three wards highlighted </w:t>
      </w:r>
    </w:p>
    <w:tbl>
      <w:tblPr>
        <w:tblW w:w="9460" w:type="dxa"/>
        <w:tblLayout w:type="fixed"/>
        <w:tblLook w:val="04A0" w:firstRow="1" w:lastRow="0" w:firstColumn="1" w:lastColumn="0" w:noHBand="0" w:noVBand="1"/>
      </w:tblPr>
      <w:tblGrid>
        <w:gridCol w:w="1985"/>
        <w:gridCol w:w="1701"/>
        <w:gridCol w:w="1701"/>
        <w:gridCol w:w="1701"/>
        <w:gridCol w:w="2372"/>
      </w:tblGrid>
      <w:tr w:rsidR="00C93C29" w:rsidRPr="007B06B3" w14:paraId="57CF78FD" w14:textId="77777777" w:rsidTr="002207DA">
        <w:trPr>
          <w:trHeight w:val="290"/>
        </w:trPr>
        <w:tc>
          <w:tcPr>
            <w:tcW w:w="1985" w:type="dxa"/>
            <w:tcBorders>
              <w:top w:val="nil"/>
              <w:left w:val="nil"/>
              <w:bottom w:val="single" w:sz="4" w:space="0" w:color="auto"/>
              <w:right w:val="single" w:sz="4" w:space="0" w:color="auto"/>
            </w:tcBorders>
            <w:noWrap/>
            <w:vAlign w:val="bottom"/>
            <w:hideMark/>
          </w:tcPr>
          <w:p w14:paraId="3B290A4C" w14:textId="77777777" w:rsidR="00C93C29" w:rsidRPr="007B06B3" w:rsidRDefault="00C93C29" w:rsidP="002207DA">
            <w:pPr>
              <w:spacing w:after="0" w:line="240" w:lineRule="auto"/>
              <w:rPr>
                <w:rFonts w:ascii="Arial" w:eastAsia="Times New Roman" w:hAnsi="Arial" w:cs="Arial"/>
                <w:color w:val="000000"/>
                <w:lang w:eastAsia="en-GB"/>
              </w:rPr>
            </w:pPr>
            <w:bookmarkStart w:id="23" w:name="_Hlk184716045"/>
            <w:r w:rsidRPr="007B06B3">
              <w:rPr>
                <w:rFonts w:ascii="Arial" w:eastAsia="Times New Roman" w:hAnsi="Arial" w:cs="Arial"/>
                <w:color w:val="000000"/>
                <w:lang w:eastAsia="en-GB"/>
              </w:rPr>
              <w:t> </w:t>
            </w:r>
          </w:p>
        </w:tc>
        <w:tc>
          <w:tcPr>
            <w:tcW w:w="1701" w:type="dxa"/>
            <w:tcBorders>
              <w:top w:val="single" w:sz="4" w:space="0" w:color="auto"/>
              <w:left w:val="nil"/>
              <w:bottom w:val="single" w:sz="4" w:space="0" w:color="auto"/>
              <w:right w:val="single" w:sz="4" w:space="0" w:color="auto"/>
            </w:tcBorders>
            <w:shd w:val="clear" w:color="000000" w:fill="BDD7EE"/>
            <w:noWrap/>
            <w:vAlign w:val="center"/>
            <w:hideMark/>
          </w:tcPr>
          <w:p w14:paraId="307CD33D" w14:textId="77777777" w:rsidR="00C93C29" w:rsidRPr="007B06B3" w:rsidRDefault="00C93C29" w:rsidP="002207DA">
            <w:pPr>
              <w:spacing w:after="0" w:line="240" w:lineRule="auto"/>
              <w:jc w:val="center"/>
              <w:rPr>
                <w:rFonts w:ascii="Arial" w:eastAsia="Times New Roman" w:hAnsi="Arial" w:cs="Arial"/>
                <w:color w:val="000000"/>
                <w:sz w:val="18"/>
                <w:szCs w:val="18"/>
                <w:lang w:eastAsia="en-GB"/>
              </w:rPr>
            </w:pPr>
            <w:r w:rsidRPr="007B06B3">
              <w:rPr>
                <w:rFonts w:ascii="Arial" w:eastAsia="Times New Roman" w:hAnsi="Arial" w:cs="Arial"/>
                <w:color w:val="000000"/>
                <w:sz w:val="18"/>
                <w:szCs w:val="18"/>
                <w:lang w:eastAsia="en-GB"/>
              </w:rPr>
              <w:t>Total in month</w:t>
            </w:r>
          </w:p>
        </w:tc>
        <w:tc>
          <w:tcPr>
            <w:tcW w:w="5774"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3FC08588" w14:textId="77777777" w:rsidR="00C93C29" w:rsidRPr="007B06B3" w:rsidRDefault="00C93C29" w:rsidP="002207DA">
            <w:pPr>
              <w:spacing w:after="0" w:line="240" w:lineRule="auto"/>
              <w:jc w:val="center"/>
              <w:rPr>
                <w:rFonts w:ascii="Arial" w:eastAsia="Times New Roman" w:hAnsi="Arial" w:cs="Arial"/>
                <w:color w:val="000000"/>
                <w:sz w:val="18"/>
                <w:szCs w:val="18"/>
                <w:lang w:eastAsia="en-GB"/>
              </w:rPr>
            </w:pPr>
            <w:r w:rsidRPr="007B06B3">
              <w:rPr>
                <w:rFonts w:ascii="Arial" w:eastAsia="Times New Roman" w:hAnsi="Arial" w:cs="Arial"/>
                <w:color w:val="000000"/>
                <w:sz w:val="18"/>
                <w:szCs w:val="18"/>
                <w:lang w:eastAsia="en-GB"/>
              </w:rPr>
              <w:t xml:space="preserve">Top </w:t>
            </w:r>
            <w:r w:rsidR="00352162" w:rsidRPr="007B06B3">
              <w:rPr>
                <w:rFonts w:ascii="Arial" w:eastAsia="Times New Roman" w:hAnsi="Arial" w:cs="Arial"/>
                <w:color w:val="000000"/>
                <w:sz w:val="18"/>
                <w:szCs w:val="18"/>
                <w:lang w:eastAsia="en-GB"/>
              </w:rPr>
              <w:t>Departments</w:t>
            </w:r>
          </w:p>
        </w:tc>
      </w:tr>
      <w:tr w:rsidR="00794F37" w:rsidRPr="007B06B3" w14:paraId="61F6C271" w14:textId="77777777" w:rsidTr="00794F37">
        <w:trPr>
          <w:trHeight w:val="290"/>
        </w:trPr>
        <w:tc>
          <w:tcPr>
            <w:tcW w:w="1985" w:type="dxa"/>
            <w:tcBorders>
              <w:top w:val="nil"/>
              <w:left w:val="single" w:sz="4" w:space="0" w:color="auto"/>
              <w:bottom w:val="single" w:sz="4" w:space="0" w:color="auto"/>
              <w:right w:val="single" w:sz="4" w:space="0" w:color="auto"/>
            </w:tcBorders>
            <w:noWrap/>
            <w:vAlign w:val="center"/>
          </w:tcPr>
          <w:p w14:paraId="4D615FCB" w14:textId="77777777" w:rsidR="00794F37" w:rsidRPr="007B06B3" w:rsidRDefault="00794F37" w:rsidP="002207DA">
            <w:pPr>
              <w:spacing w:after="0" w:line="240" w:lineRule="auto"/>
              <w:rPr>
                <w:rFonts w:ascii="Arial" w:eastAsia="Times New Roman" w:hAnsi="Arial" w:cs="Arial"/>
                <w:color w:val="000000"/>
                <w:lang w:eastAsia="en-GB"/>
              </w:rPr>
            </w:pPr>
            <w:r w:rsidRPr="007B06B3">
              <w:rPr>
                <w:rFonts w:ascii="Arial" w:eastAsia="Times New Roman" w:hAnsi="Arial" w:cs="Arial"/>
                <w:color w:val="000000"/>
                <w:lang w:eastAsia="en-GB"/>
              </w:rPr>
              <w:t>New complaints</w:t>
            </w:r>
          </w:p>
        </w:tc>
        <w:tc>
          <w:tcPr>
            <w:tcW w:w="1701" w:type="dxa"/>
            <w:tcBorders>
              <w:top w:val="nil"/>
              <w:left w:val="nil"/>
              <w:bottom w:val="single" w:sz="4" w:space="0" w:color="auto"/>
              <w:right w:val="single" w:sz="4" w:space="0" w:color="auto"/>
            </w:tcBorders>
            <w:noWrap/>
            <w:vAlign w:val="center"/>
          </w:tcPr>
          <w:p w14:paraId="2BA4DF71" w14:textId="05A29402" w:rsidR="00794F37" w:rsidRPr="007B06B3" w:rsidRDefault="00CB6E76" w:rsidP="002207DA">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14</w:t>
            </w:r>
          </w:p>
        </w:tc>
        <w:tc>
          <w:tcPr>
            <w:tcW w:w="1701" w:type="dxa"/>
            <w:tcBorders>
              <w:top w:val="nil"/>
              <w:left w:val="nil"/>
              <w:bottom w:val="single" w:sz="4" w:space="0" w:color="auto"/>
              <w:right w:val="single" w:sz="4" w:space="0" w:color="auto"/>
            </w:tcBorders>
            <w:noWrap/>
            <w:vAlign w:val="center"/>
          </w:tcPr>
          <w:p w14:paraId="6F1CACB8" w14:textId="198718B5" w:rsidR="00794F37" w:rsidRPr="007B06B3" w:rsidRDefault="00794F37" w:rsidP="002207DA">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 xml:space="preserve">A&amp;E – </w:t>
            </w:r>
            <w:r w:rsidR="00CB6E76" w:rsidRPr="007B06B3">
              <w:rPr>
                <w:rFonts w:ascii="Arial" w:eastAsia="Times New Roman" w:hAnsi="Arial" w:cs="Arial"/>
                <w:color w:val="000000"/>
                <w:lang w:eastAsia="en-GB"/>
              </w:rPr>
              <w:t>4</w:t>
            </w:r>
            <w:r w:rsidRPr="007B06B3">
              <w:rPr>
                <w:rFonts w:ascii="Arial" w:eastAsia="Times New Roman" w:hAnsi="Arial" w:cs="Arial"/>
                <w:color w:val="000000"/>
                <w:lang w:eastAsia="en-GB"/>
              </w:rPr>
              <w:t xml:space="preserve">   </w:t>
            </w:r>
          </w:p>
        </w:tc>
        <w:tc>
          <w:tcPr>
            <w:tcW w:w="1701" w:type="dxa"/>
            <w:tcBorders>
              <w:top w:val="nil"/>
              <w:left w:val="nil"/>
              <w:bottom w:val="single" w:sz="4" w:space="0" w:color="auto"/>
              <w:right w:val="single" w:sz="4" w:space="0" w:color="auto"/>
            </w:tcBorders>
            <w:noWrap/>
            <w:vAlign w:val="center"/>
          </w:tcPr>
          <w:p w14:paraId="66BB675C" w14:textId="7D80D14B" w:rsidR="00794F37" w:rsidRPr="007B06B3" w:rsidRDefault="00CB6E76" w:rsidP="002207DA">
            <w:pPr>
              <w:spacing w:after="0" w:line="240" w:lineRule="auto"/>
              <w:jc w:val="center"/>
              <w:rPr>
                <w:rFonts w:ascii="Arial" w:eastAsia="Times New Roman" w:hAnsi="Arial" w:cs="Arial"/>
                <w:color w:val="000000"/>
                <w:sz w:val="20"/>
                <w:szCs w:val="20"/>
                <w:lang w:eastAsia="en-GB"/>
              </w:rPr>
            </w:pPr>
            <w:r w:rsidRPr="007B06B3">
              <w:rPr>
                <w:rFonts w:ascii="Arial" w:eastAsia="Times New Roman" w:hAnsi="Arial" w:cs="Arial"/>
                <w:color w:val="000000"/>
                <w:sz w:val="20"/>
                <w:szCs w:val="20"/>
                <w:lang w:eastAsia="en-GB"/>
              </w:rPr>
              <w:t xml:space="preserve">Paeds A&amp;E – 3  </w:t>
            </w:r>
            <w:r w:rsidR="00794F37" w:rsidRPr="007B06B3">
              <w:rPr>
                <w:rFonts w:ascii="Arial" w:eastAsia="Times New Roman" w:hAnsi="Arial" w:cs="Arial"/>
                <w:color w:val="000000"/>
                <w:sz w:val="20"/>
                <w:szCs w:val="20"/>
                <w:lang w:eastAsia="en-GB"/>
              </w:rPr>
              <w:t xml:space="preserve"> </w:t>
            </w:r>
          </w:p>
        </w:tc>
        <w:tc>
          <w:tcPr>
            <w:tcW w:w="2372" w:type="dxa"/>
            <w:tcBorders>
              <w:top w:val="nil"/>
              <w:left w:val="nil"/>
              <w:bottom w:val="single" w:sz="4" w:space="0" w:color="auto"/>
              <w:right w:val="single" w:sz="4" w:space="0" w:color="auto"/>
            </w:tcBorders>
            <w:vAlign w:val="center"/>
          </w:tcPr>
          <w:p w14:paraId="36A7E486" w14:textId="03128548" w:rsidR="00794F37" w:rsidRPr="007B06B3" w:rsidRDefault="00CB6E76" w:rsidP="002207DA">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 xml:space="preserve">Lister – 3 </w:t>
            </w:r>
          </w:p>
        </w:tc>
      </w:tr>
      <w:tr w:rsidR="00CB6E76" w:rsidRPr="007B06B3" w14:paraId="4AFC5714"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528E5A1E" w14:textId="77777777" w:rsidR="00CB6E76" w:rsidRPr="007B06B3" w:rsidRDefault="00CB6E76" w:rsidP="00CB6E76">
            <w:pPr>
              <w:spacing w:after="0" w:line="240" w:lineRule="auto"/>
              <w:rPr>
                <w:rFonts w:ascii="Arial" w:eastAsia="Times New Roman" w:hAnsi="Arial" w:cs="Arial"/>
                <w:color w:val="000000"/>
                <w:lang w:eastAsia="en-GB"/>
              </w:rPr>
            </w:pPr>
            <w:r w:rsidRPr="007B06B3">
              <w:rPr>
                <w:rFonts w:ascii="Arial" w:eastAsia="Times New Roman" w:hAnsi="Arial" w:cs="Arial"/>
                <w:color w:val="000000"/>
                <w:lang w:eastAsia="en-GB"/>
              </w:rPr>
              <w:t>PALs</w:t>
            </w:r>
          </w:p>
        </w:tc>
        <w:tc>
          <w:tcPr>
            <w:tcW w:w="1701" w:type="dxa"/>
            <w:tcBorders>
              <w:top w:val="nil"/>
              <w:left w:val="nil"/>
              <w:bottom w:val="single" w:sz="4" w:space="0" w:color="auto"/>
              <w:right w:val="single" w:sz="4" w:space="0" w:color="auto"/>
            </w:tcBorders>
            <w:noWrap/>
            <w:vAlign w:val="center"/>
          </w:tcPr>
          <w:p w14:paraId="3A240E69" w14:textId="277A1749" w:rsidR="00CB6E76" w:rsidRPr="007B06B3" w:rsidRDefault="00CB6E76" w:rsidP="00CB6E76">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87</w:t>
            </w:r>
          </w:p>
        </w:tc>
        <w:tc>
          <w:tcPr>
            <w:tcW w:w="1701" w:type="dxa"/>
            <w:tcBorders>
              <w:top w:val="nil"/>
              <w:left w:val="nil"/>
              <w:bottom w:val="single" w:sz="4" w:space="0" w:color="auto"/>
              <w:right w:val="single" w:sz="4" w:space="0" w:color="auto"/>
            </w:tcBorders>
            <w:noWrap/>
            <w:vAlign w:val="center"/>
          </w:tcPr>
          <w:p w14:paraId="14499FFF" w14:textId="0B3F64B2" w:rsidR="00CB6E76" w:rsidRPr="007B06B3" w:rsidRDefault="00CB6E76" w:rsidP="00CB6E76">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 xml:space="preserve">A&amp;E – 21   </w:t>
            </w:r>
          </w:p>
        </w:tc>
        <w:tc>
          <w:tcPr>
            <w:tcW w:w="1701" w:type="dxa"/>
            <w:tcBorders>
              <w:top w:val="nil"/>
              <w:left w:val="nil"/>
              <w:bottom w:val="single" w:sz="4" w:space="0" w:color="auto"/>
              <w:right w:val="single" w:sz="4" w:space="0" w:color="auto"/>
            </w:tcBorders>
            <w:noWrap/>
            <w:vAlign w:val="center"/>
          </w:tcPr>
          <w:p w14:paraId="678BC8E9" w14:textId="0E2B5265" w:rsidR="00CB6E76" w:rsidRPr="007B06B3" w:rsidRDefault="00CB6E76" w:rsidP="00CB6E76">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 xml:space="preserve">Labour – 7  </w:t>
            </w:r>
          </w:p>
        </w:tc>
        <w:tc>
          <w:tcPr>
            <w:tcW w:w="2372" w:type="dxa"/>
            <w:tcBorders>
              <w:top w:val="nil"/>
              <w:left w:val="nil"/>
              <w:bottom w:val="single" w:sz="4" w:space="0" w:color="auto"/>
              <w:right w:val="single" w:sz="4" w:space="0" w:color="auto"/>
            </w:tcBorders>
            <w:noWrap/>
            <w:vAlign w:val="center"/>
          </w:tcPr>
          <w:p w14:paraId="78A77339" w14:textId="2F049C03" w:rsidR="00CB6E76" w:rsidRPr="007B06B3" w:rsidRDefault="00CB6E76" w:rsidP="00CB6E76">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Ray - 7</w:t>
            </w:r>
          </w:p>
        </w:tc>
      </w:tr>
      <w:tr w:rsidR="00E0765A" w:rsidRPr="007B06B3" w14:paraId="6E08EE41" w14:textId="77777777" w:rsidTr="00E44878">
        <w:trPr>
          <w:trHeight w:val="290"/>
        </w:trPr>
        <w:tc>
          <w:tcPr>
            <w:tcW w:w="1985" w:type="dxa"/>
            <w:tcBorders>
              <w:top w:val="nil"/>
              <w:left w:val="single" w:sz="4" w:space="0" w:color="auto"/>
              <w:bottom w:val="single" w:sz="4" w:space="0" w:color="auto"/>
              <w:right w:val="single" w:sz="4" w:space="0" w:color="auto"/>
            </w:tcBorders>
            <w:noWrap/>
            <w:vAlign w:val="center"/>
          </w:tcPr>
          <w:p w14:paraId="4DA58064" w14:textId="77777777" w:rsidR="00E0765A" w:rsidRPr="007B06B3" w:rsidRDefault="00E0765A" w:rsidP="002207DA">
            <w:pPr>
              <w:spacing w:after="0" w:line="240" w:lineRule="auto"/>
              <w:rPr>
                <w:rFonts w:ascii="Arial" w:eastAsia="Times New Roman" w:hAnsi="Arial" w:cs="Arial"/>
                <w:color w:val="000000"/>
                <w:lang w:eastAsia="en-GB"/>
              </w:rPr>
            </w:pPr>
            <w:r w:rsidRPr="007B06B3">
              <w:rPr>
                <w:rFonts w:ascii="Arial" w:eastAsia="Times New Roman" w:hAnsi="Arial" w:cs="Arial"/>
                <w:color w:val="000000"/>
                <w:lang w:eastAsia="en-GB"/>
              </w:rPr>
              <w:t>Compliments</w:t>
            </w:r>
          </w:p>
        </w:tc>
        <w:tc>
          <w:tcPr>
            <w:tcW w:w="1701" w:type="dxa"/>
            <w:tcBorders>
              <w:top w:val="nil"/>
              <w:left w:val="nil"/>
              <w:bottom w:val="single" w:sz="4" w:space="0" w:color="auto"/>
              <w:right w:val="single" w:sz="4" w:space="0" w:color="auto"/>
            </w:tcBorders>
            <w:noWrap/>
            <w:vAlign w:val="center"/>
          </w:tcPr>
          <w:p w14:paraId="613B6C45" w14:textId="3AD2066B" w:rsidR="00E0765A" w:rsidRPr="007B06B3" w:rsidRDefault="00CB6E76" w:rsidP="002207DA">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5</w:t>
            </w:r>
          </w:p>
        </w:tc>
        <w:tc>
          <w:tcPr>
            <w:tcW w:w="1701" w:type="dxa"/>
            <w:tcBorders>
              <w:top w:val="nil"/>
              <w:left w:val="nil"/>
              <w:bottom w:val="single" w:sz="4" w:space="0" w:color="auto"/>
              <w:right w:val="single" w:sz="4" w:space="0" w:color="auto"/>
            </w:tcBorders>
            <w:noWrap/>
            <w:vAlign w:val="center"/>
          </w:tcPr>
          <w:p w14:paraId="3FB57B24" w14:textId="7658BE58" w:rsidR="00E0765A" w:rsidRPr="007B06B3" w:rsidRDefault="00794F37" w:rsidP="002207DA">
            <w:pPr>
              <w:spacing w:after="0" w:line="240" w:lineRule="auto"/>
              <w:jc w:val="center"/>
              <w:rPr>
                <w:rFonts w:ascii="Arial" w:eastAsia="Times New Roman" w:hAnsi="Arial" w:cs="Arial"/>
                <w:color w:val="000000"/>
                <w:lang w:eastAsia="en-GB"/>
              </w:rPr>
            </w:pPr>
            <w:r w:rsidRPr="007B06B3">
              <w:rPr>
                <w:rFonts w:ascii="Arial" w:eastAsia="Times New Roman" w:hAnsi="Arial" w:cs="Arial"/>
                <w:color w:val="000000"/>
                <w:lang w:eastAsia="en-GB"/>
              </w:rPr>
              <w:t xml:space="preserve">A&amp;E – </w:t>
            </w:r>
            <w:r w:rsidR="00CB6E76" w:rsidRPr="007B06B3">
              <w:rPr>
                <w:rFonts w:ascii="Arial" w:eastAsia="Times New Roman" w:hAnsi="Arial" w:cs="Arial"/>
                <w:color w:val="000000"/>
                <w:lang w:eastAsia="en-GB"/>
              </w:rPr>
              <w:t>5</w:t>
            </w:r>
          </w:p>
        </w:tc>
        <w:tc>
          <w:tcPr>
            <w:tcW w:w="1701" w:type="dxa"/>
            <w:tcBorders>
              <w:top w:val="nil"/>
              <w:left w:val="nil"/>
              <w:bottom w:val="single" w:sz="4" w:space="0" w:color="auto"/>
              <w:right w:val="single" w:sz="4" w:space="0" w:color="auto"/>
            </w:tcBorders>
            <w:noWrap/>
            <w:vAlign w:val="center"/>
          </w:tcPr>
          <w:p w14:paraId="4A7F2F3E" w14:textId="77777777" w:rsidR="00E0765A" w:rsidRPr="007B06B3" w:rsidRDefault="00E0765A" w:rsidP="002207DA">
            <w:pPr>
              <w:spacing w:after="0" w:line="240" w:lineRule="auto"/>
              <w:jc w:val="center"/>
              <w:rPr>
                <w:rFonts w:ascii="Arial" w:eastAsia="Times New Roman" w:hAnsi="Arial" w:cs="Arial"/>
                <w:color w:val="000000"/>
                <w:lang w:eastAsia="en-GB"/>
              </w:rPr>
            </w:pPr>
          </w:p>
        </w:tc>
        <w:tc>
          <w:tcPr>
            <w:tcW w:w="2372" w:type="dxa"/>
            <w:tcBorders>
              <w:top w:val="nil"/>
              <w:left w:val="nil"/>
              <w:bottom w:val="single" w:sz="4" w:space="0" w:color="auto"/>
              <w:right w:val="single" w:sz="4" w:space="0" w:color="auto"/>
            </w:tcBorders>
            <w:vAlign w:val="center"/>
          </w:tcPr>
          <w:p w14:paraId="3041F962" w14:textId="6A86A545" w:rsidR="00E0765A" w:rsidRPr="007B06B3" w:rsidRDefault="00E0765A" w:rsidP="002207DA">
            <w:pPr>
              <w:spacing w:after="0" w:line="240" w:lineRule="auto"/>
              <w:jc w:val="center"/>
              <w:rPr>
                <w:rFonts w:ascii="Arial" w:eastAsia="Times New Roman" w:hAnsi="Arial" w:cs="Arial"/>
                <w:color w:val="000000"/>
                <w:lang w:eastAsia="en-GB"/>
              </w:rPr>
            </w:pPr>
          </w:p>
        </w:tc>
      </w:tr>
    </w:tbl>
    <w:bookmarkEnd w:id="23"/>
    <w:p w14:paraId="1788795E" w14:textId="6660B32B" w:rsidR="00D84F40" w:rsidRPr="007B06B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7B06B3">
        <w:rPr>
          <w:rFonts w:ascii="Arial" w:hAnsi="Arial" w:cs="Arial"/>
          <w:b/>
          <w:bCs/>
          <w:sz w:val="22"/>
          <w:szCs w:val="22"/>
          <w:bdr w:val="none" w:sz="0" w:space="0" w:color="auto" w:frame="1"/>
        </w:rPr>
        <w:t>Complaints:</w:t>
      </w:r>
      <w:r w:rsidRPr="007B06B3">
        <w:rPr>
          <w:rFonts w:ascii="Arial" w:hAnsi="Arial" w:cs="Arial"/>
          <w:sz w:val="22"/>
          <w:szCs w:val="22"/>
          <w:bdr w:val="none" w:sz="0" w:space="0" w:color="auto" w:frame="1"/>
        </w:rPr>
        <w:t xml:space="preserve"> main themes: </w:t>
      </w:r>
      <w:r w:rsidR="00CB6E76" w:rsidRPr="007B06B3">
        <w:rPr>
          <w:rFonts w:ascii="Arial" w:hAnsi="Arial" w:cs="Arial"/>
          <w:sz w:val="22"/>
          <w:szCs w:val="22"/>
          <w:bdr w:val="none" w:sz="0" w:space="0" w:color="auto" w:frame="1"/>
        </w:rPr>
        <w:t>Medical Care 24.66%, Appointments 13.7%, delay 13.7%</w:t>
      </w:r>
    </w:p>
    <w:p w14:paraId="69A4CA89" w14:textId="451B147B" w:rsidR="00D84F40" w:rsidRPr="007B06B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7B06B3">
        <w:rPr>
          <w:rFonts w:ascii="Arial" w:hAnsi="Arial" w:cs="Arial"/>
          <w:b/>
          <w:bCs/>
          <w:sz w:val="22"/>
          <w:szCs w:val="22"/>
          <w:bdr w:val="none" w:sz="0" w:space="0" w:color="auto" w:frame="1"/>
        </w:rPr>
        <w:t>PALS:</w:t>
      </w:r>
      <w:r w:rsidRPr="007B06B3">
        <w:rPr>
          <w:rFonts w:ascii="Arial" w:hAnsi="Arial" w:cs="Arial"/>
          <w:sz w:val="22"/>
          <w:szCs w:val="22"/>
          <w:bdr w:val="none" w:sz="0" w:space="0" w:color="auto" w:frame="1"/>
        </w:rPr>
        <w:t xml:space="preserve"> </w:t>
      </w:r>
      <w:r w:rsidR="00CB6E76" w:rsidRPr="007B06B3">
        <w:rPr>
          <w:rFonts w:ascii="Arial" w:hAnsi="Arial" w:cs="Arial"/>
          <w:sz w:val="22"/>
          <w:szCs w:val="22"/>
          <w:bdr w:val="none" w:sz="0" w:space="0" w:color="auto" w:frame="1"/>
        </w:rPr>
        <w:t>main themes: delay 36.11%, communication 23.55%, Appointments 8.16%</w:t>
      </w:r>
    </w:p>
    <w:p w14:paraId="71FADD3B" w14:textId="3AED9823" w:rsidR="00D84F40" w:rsidRPr="00355A93" w:rsidRDefault="00D84F40" w:rsidP="00D84F40">
      <w:pPr>
        <w:pStyle w:val="NormalWeb"/>
        <w:shd w:val="clear" w:color="auto" w:fill="FFFFFF"/>
        <w:spacing w:before="0" w:beforeAutospacing="0" w:after="0" w:afterAutospacing="0"/>
        <w:rPr>
          <w:rFonts w:ascii="Arial" w:hAnsi="Arial" w:cs="Arial"/>
          <w:sz w:val="22"/>
          <w:szCs w:val="22"/>
          <w:bdr w:val="none" w:sz="0" w:space="0" w:color="auto" w:frame="1"/>
        </w:rPr>
      </w:pPr>
      <w:r w:rsidRPr="007B06B3">
        <w:rPr>
          <w:rFonts w:ascii="Arial" w:hAnsi="Arial" w:cs="Arial"/>
          <w:b/>
          <w:bCs/>
          <w:sz w:val="22"/>
          <w:szCs w:val="22"/>
          <w:bdr w:val="none" w:sz="0" w:space="0" w:color="auto" w:frame="1"/>
        </w:rPr>
        <w:t>Compliments:</w:t>
      </w:r>
      <w:r w:rsidRPr="007B06B3">
        <w:rPr>
          <w:rFonts w:ascii="Arial" w:hAnsi="Arial" w:cs="Arial"/>
          <w:sz w:val="22"/>
          <w:szCs w:val="22"/>
          <w:bdr w:val="none" w:sz="0" w:space="0" w:color="auto" w:frame="1"/>
        </w:rPr>
        <w:t xml:space="preserve"> Only </w:t>
      </w:r>
      <w:r w:rsidR="00797515" w:rsidRPr="007B06B3">
        <w:rPr>
          <w:rFonts w:ascii="Arial" w:hAnsi="Arial" w:cs="Arial"/>
          <w:sz w:val="22"/>
          <w:szCs w:val="22"/>
          <w:bdr w:val="none" w:sz="0" w:space="0" w:color="auto" w:frame="1"/>
        </w:rPr>
        <w:t>5</w:t>
      </w:r>
      <w:r w:rsidRPr="007B06B3">
        <w:rPr>
          <w:rFonts w:ascii="Arial" w:hAnsi="Arial" w:cs="Arial"/>
          <w:sz w:val="22"/>
          <w:szCs w:val="22"/>
          <w:bdr w:val="none" w:sz="0" w:space="0" w:color="auto" w:frame="1"/>
        </w:rPr>
        <w:t xml:space="preserve"> recorded; themes not provided</w:t>
      </w:r>
      <w:r w:rsidR="00797515" w:rsidRPr="007B06B3">
        <w:rPr>
          <w:rFonts w:ascii="Arial" w:hAnsi="Arial" w:cs="Arial"/>
          <w:sz w:val="22"/>
          <w:szCs w:val="22"/>
          <w:bdr w:val="none" w:sz="0" w:space="0" w:color="auto" w:frame="1"/>
        </w:rPr>
        <w:t xml:space="preserve"> – </w:t>
      </w:r>
      <w:r w:rsidRPr="007B06B3">
        <w:rPr>
          <w:rFonts w:ascii="Arial" w:hAnsi="Arial" w:cs="Arial"/>
          <w:sz w:val="22"/>
          <w:szCs w:val="22"/>
          <w:bdr w:val="none" w:sz="0" w:space="0" w:color="auto" w:frame="1"/>
        </w:rPr>
        <w:t>data capture remains inconsistent.</w:t>
      </w:r>
    </w:p>
    <w:p w14:paraId="254FBF8A" w14:textId="77777777" w:rsidR="000C3FF8" w:rsidRPr="00037267" w:rsidRDefault="000C3FF8" w:rsidP="00D84F40">
      <w:pPr>
        <w:pStyle w:val="NormalWeb"/>
        <w:shd w:val="clear" w:color="auto" w:fill="FFFFFF"/>
        <w:spacing w:before="0" w:beforeAutospacing="0" w:after="0" w:afterAutospacing="0"/>
        <w:jc w:val="both"/>
        <w:rPr>
          <w:rFonts w:ascii="Arial" w:eastAsiaTheme="minorHAnsi" w:hAnsi="Arial" w:cs="Arial"/>
          <w:b/>
          <w:color w:val="005EB8"/>
          <w:sz w:val="22"/>
          <w:szCs w:val="22"/>
          <w:lang w:eastAsia="en-US"/>
        </w:rPr>
      </w:pPr>
    </w:p>
    <w:sectPr w:rsidR="000C3FF8" w:rsidRPr="00037267" w:rsidSect="000C3FF8">
      <w:headerReference w:type="default" r:id="rId33"/>
      <w:footerReference w:type="default" r:id="rId34"/>
      <w:pgSz w:w="11906" w:h="16838"/>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F774" w14:textId="77777777" w:rsidR="0034229D" w:rsidRDefault="0034229D" w:rsidP="00D5055D">
      <w:pPr>
        <w:spacing w:after="0" w:line="240" w:lineRule="auto"/>
      </w:pPr>
      <w:r>
        <w:separator/>
      </w:r>
    </w:p>
  </w:endnote>
  <w:endnote w:type="continuationSeparator" w:id="0">
    <w:p w14:paraId="7B161028" w14:textId="77777777" w:rsidR="0034229D" w:rsidRDefault="0034229D" w:rsidP="00D5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400815"/>
      <w:docPartObj>
        <w:docPartGallery w:val="Page Numbers (Bottom of Page)"/>
        <w:docPartUnique/>
      </w:docPartObj>
    </w:sdtPr>
    <w:sdtEndPr>
      <w:rPr>
        <w:noProof/>
      </w:rPr>
    </w:sdtEndPr>
    <w:sdtContent>
      <w:p w14:paraId="51203D81" w14:textId="77777777" w:rsidR="001C6808" w:rsidRDefault="001C6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E45860" w14:textId="77777777" w:rsidR="001C6808" w:rsidRDefault="001C6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CBFD" w14:textId="77777777" w:rsidR="0034229D" w:rsidRDefault="0034229D" w:rsidP="00D5055D">
      <w:pPr>
        <w:spacing w:after="0" w:line="240" w:lineRule="auto"/>
      </w:pPr>
      <w:r>
        <w:separator/>
      </w:r>
    </w:p>
  </w:footnote>
  <w:footnote w:type="continuationSeparator" w:id="0">
    <w:p w14:paraId="0D5D9B75" w14:textId="77777777" w:rsidR="0034229D" w:rsidRDefault="0034229D" w:rsidP="00D50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C6D7" w14:textId="5A9BD980" w:rsidR="00587EE5" w:rsidRDefault="00587EE5">
    <w:pPr>
      <w:pStyle w:val="Header"/>
    </w:pPr>
    <w:r>
      <w:rPr>
        <w:noProof/>
        <w:sz w:val="16"/>
        <w:szCs w:val="16"/>
      </w:rPr>
      <w:drawing>
        <wp:anchor distT="0" distB="0" distL="114300" distR="114300" simplePos="0" relativeHeight="251659264" behindDoc="1" locked="0" layoutInCell="1" allowOverlap="1" wp14:anchorId="27F3E043" wp14:editId="31CC731D">
          <wp:simplePos x="0" y="0"/>
          <wp:positionH relativeFrom="column">
            <wp:posOffset>4552950</wp:posOffset>
          </wp:positionH>
          <wp:positionV relativeFrom="paragraph">
            <wp:posOffset>-278765</wp:posOffset>
          </wp:positionV>
          <wp:extent cx="1801495" cy="809625"/>
          <wp:effectExtent l="0" t="0" r="8255" b="9525"/>
          <wp:wrapTight wrapText="bothSides">
            <wp:wrapPolygon edited="0">
              <wp:start x="14161" y="0"/>
              <wp:lineTo x="10964" y="8132"/>
              <wp:lineTo x="0" y="8132"/>
              <wp:lineTo x="0" y="12706"/>
              <wp:lineTo x="13476" y="16264"/>
              <wp:lineTo x="14847" y="21346"/>
              <wp:lineTo x="15075" y="21346"/>
              <wp:lineTo x="21471" y="21346"/>
              <wp:lineTo x="21471" y="0"/>
              <wp:lineTo x="14161" y="0"/>
            </wp:wrapPolygon>
          </wp:wrapTight>
          <wp:docPr id="1832509080" name="Picture 183250908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09080" name="Picture 1832509080"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495"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0F78"/>
    <w:multiLevelType w:val="hybridMultilevel"/>
    <w:tmpl w:val="5F6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6C86"/>
    <w:multiLevelType w:val="hybridMultilevel"/>
    <w:tmpl w:val="493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F35C0"/>
    <w:multiLevelType w:val="hybridMultilevel"/>
    <w:tmpl w:val="80EC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35CCC"/>
    <w:multiLevelType w:val="multilevel"/>
    <w:tmpl w:val="750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65834"/>
    <w:multiLevelType w:val="hybridMultilevel"/>
    <w:tmpl w:val="2698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53C38"/>
    <w:multiLevelType w:val="hybridMultilevel"/>
    <w:tmpl w:val="0778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66D92"/>
    <w:multiLevelType w:val="hybridMultilevel"/>
    <w:tmpl w:val="7A32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60956"/>
    <w:multiLevelType w:val="hybridMultilevel"/>
    <w:tmpl w:val="A576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861BF"/>
    <w:multiLevelType w:val="multilevel"/>
    <w:tmpl w:val="2CB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36345"/>
    <w:multiLevelType w:val="hybridMultilevel"/>
    <w:tmpl w:val="4FAC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E6F70"/>
    <w:multiLevelType w:val="hybridMultilevel"/>
    <w:tmpl w:val="DD9C5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3213FB"/>
    <w:multiLevelType w:val="hybridMultilevel"/>
    <w:tmpl w:val="A8E2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13C88"/>
    <w:multiLevelType w:val="hybridMultilevel"/>
    <w:tmpl w:val="CAD6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64406"/>
    <w:multiLevelType w:val="hybridMultilevel"/>
    <w:tmpl w:val="4BF6935A"/>
    <w:lvl w:ilvl="0" w:tplc="02B40C5A">
      <w:start w:val="1"/>
      <w:numFmt w:val="bullet"/>
      <w:lvlText w:val="•"/>
      <w:lvlJc w:val="left"/>
      <w:pPr>
        <w:ind w:left="1080" w:hanging="72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B752D0"/>
    <w:multiLevelType w:val="multilevel"/>
    <w:tmpl w:val="82E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53E95"/>
    <w:multiLevelType w:val="multilevel"/>
    <w:tmpl w:val="4BD8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F52680"/>
    <w:multiLevelType w:val="multilevel"/>
    <w:tmpl w:val="532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609EB"/>
    <w:multiLevelType w:val="hybridMultilevel"/>
    <w:tmpl w:val="8126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53C95"/>
    <w:multiLevelType w:val="hybridMultilevel"/>
    <w:tmpl w:val="E158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77300"/>
    <w:multiLevelType w:val="hybridMultilevel"/>
    <w:tmpl w:val="27EE3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4F6AA0"/>
    <w:multiLevelType w:val="hybridMultilevel"/>
    <w:tmpl w:val="1DE6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A38F3"/>
    <w:multiLevelType w:val="hybridMultilevel"/>
    <w:tmpl w:val="024A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8599">
    <w:abstractNumId w:val="7"/>
  </w:num>
  <w:num w:numId="2" w16cid:durableId="420567533">
    <w:abstractNumId w:val="12"/>
  </w:num>
  <w:num w:numId="3" w16cid:durableId="591595707">
    <w:abstractNumId w:val="20"/>
  </w:num>
  <w:num w:numId="4" w16cid:durableId="218326067">
    <w:abstractNumId w:val="12"/>
  </w:num>
  <w:num w:numId="5" w16cid:durableId="226501486">
    <w:abstractNumId w:val="11"/>
  </w:num>
  <w:num w:numId="6" w16cid:durableId="989672077">
    <w:abstractNumId w:val="10"/>
  </w:num>
  <w:num w:numId="7" w16cid:durableId="1890604025">
    <w:abstractNumId w:val="5"/>
  </w:num>
  <w:num w:numId="8" w16cid:durableId="851532055">
    <w:abstractNumId w:val="9"/>
  </w:num>
  <w:num w:numId="9" w16cid:durableId="835073036">
    <w:abstractNumId w:val="21"/>
  </w:num>
  <w:num w:numId="10" w16cid:durableId="420570514">
    <w:abstractNumId w:val="17"/>
  </w:num>
  <w:num w:numId="11" w16cid:durableId="447087804">
    <w:abstractNumId w:val="18"/>
  </w:num>
  <w:num w:numId="12" w16cid:durableId="2130512493">
    <w:abstractNumId w:val="0"/>
  </w:num>
  <w:num w:numId="13" w16cid:durableId="1886215999">
    <w:abstractNumId w:val="15"/>
  </w:num>
  <w:num w:numId="14" w16cid:durableId="248319889">
    <w:abstractNumId w:val="3"/>
  </w:num>
  <w:num w:numId="15" w16cid:durableId="249239886">
    <w:abstractNumId w:val="14"/>
  </w:num>
  <w:num w:numId="16" w16cid:durableId="1732777274">
    <w:abstractNumId w:val="1"/>
  </w:num>
  <w:num w:numId="17" w16cid:durableId="1837071686">
    <w:abstractNumId w:val="6"/>
  </w:num>
  <w:num w:numId="18" w16cid:durableId="1149205702">
    <w:abstractNumId w:val="16"/>
  </w:num>
  <w:num w:numId="19" w16cid:durableId="1050302742">
    <w:abstractNumId w:val="19"/>
  </w:num>
  <w:num w:numId="20" w16cid:durableId="1460297790">
    <w:abstractNumId w:val="13"/>
  </w:num>
  <w:num w:numId="21" w16cid:durableId="1965847453">
    <w:abstractNumId w:val="4"/>
  </w:num>
  <w:num w:numId="22" w16cid:durableId="1797335889">
    <w:abstractNumId w:val="2"/>
  </w:num>
  <w:num w:numId="23" w16cid:durableId="1965693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E7"/>
    <w:rsid w:val="000000E6"/>
    <w:rsid w:val="0000058F"/>
    <w:rsid w:val="00000838"/>
    <w:rsid w:val="00001388"/>
    <w:rsid w:val="000016C1"/>
    <w:rsid w:val="00001B54"/>
    <w:rsid w:val="00001B5C"/>
    <w:rsid w:val="00002510"/>
    <w:rsid w:val="0000358E"/>
    <w:rsid w:val="00007B61"/>
    <w:rsid w:val="00011343"/>
    <w:rsid w:val="00011A7E"/>
    <w:rsid w:val="0001312F"/>
    <w:rsid w:val="00020F01"/>
    <w:rsid w:val="0002178E"/>
    <w:rsid w:val="000241A6"/>
    <w:rsid w:val="00027921"/>
    <w:rsid w:val="00030519"/>
    <w:rsid w:val="00030B8D"/>
    <w:rsid w:val="0003163F"/>
    <w:rsid w:val="000343F5"/>
    <w:rsid w:val="00034B59"/>
    <w:rsid w:val="00035639"/>
    <w:rsid w:val="00035791"/>
    <w:rsid w:val="00036BB6"/>
    <w:rsid w:val="00036EF8"/>
    <w:rsid w:val="00037267"/>
    <w:rsid w:val="00043BEF"/>
    <w:rsid w:val="000459DD"/>
    <w:rsid w:val="00046236"/>
    <w:rsid w:val="00050565"/>
    <w:rsid w:val="00053F8C"/>
    <w:rsid w:val="000546AE"/>
    <w:rsid w:val="000550E9"/>
    <w:rsid w:val="000569D4"/>
    <w:rsid w:val="0005782C"/>
    <w:rsid w:val="00057AC0"/>
    <w:rsid w:val="00061918"/>
    <w:rsid w:val="0006289A"/>
    <w:rsid w:val="000672FA"/>
    <w:rsid w:val="00067DD4"/>
    <w:rsid w:val="00074633"/>
    <w:rsid w:val="000770CF"/>
    <w:rsid w:val="00080C94"/>
    <w:rsid w:val="00083B78"/>
    <w:rsid w:val="00085114"/>
    <w:rsid w:val="000851F7"/>
    <w:rsid w:val="0008530D"/>
    <w:rsid w:val="00086263"/>
    <w:rsid w:val="00086BAC"/>
    <w:rsid w:val="000901DA"/>
    <w:rsid w:val="000940AB"/>
    <w:rsid w:val="000945FC"/>
    <w:rsid w:val="00097D2C"/>
    <w:rsid w:val="000A1D87"/>
    <w:rsid w:val="000A679A"/>
    <w:rsid w:val="000B050A"/>
    <w:rsid w:val="000B108D"/>
    <w:rsid w:val="000B1B95"/>
    <w:rsid w:val="000B414F"/>
    <w:rsid w:val="000B5324"/>
    <w:rsid w:val="000B77EF"/>
    <w:rsid w:val="000C3FF8"/>
    <w:rsid w:val="000C530E"/>
    <w:rsid w:val="000C700D"/>
    <w:rsid w:val="000D0200"/>
    <w:rsid w:val="000D08D2"/>
    <w:rsid w:val="000D28F1"/>
    <w:rsid w:val="000D2BCC"/>
    <w:rsid w:val="000D52CA"/>
    <w:rsid w:val="000D6EDF"/>
    <w:rsid w:val="000D7045"/>
    <w:rsid w:val="000D7B71"/>
    <w:rsid w:val="000E1345"/>
    <w:rsid w:val="000E1932"/>
    <w:rsid w:val="000E3942"/>
    <w:rsid w:val="000E48FB"/>
    <w:rsid w:val="000E4C54"/>
    <w:rsid w:val="000E61D0"/>
    <w:rsid w:val="000E7AAD"/>
    <w:rsid w:val="000F03F1"/>
    <w:rsid w:val="000F065C"/>
    <w:rsid w:val="000F5154"/>
    <w:rsid w:val="0010151C"/>
    <w:rsid w:val="00103EEB"/>
    <w:rsid w:val="00104D9D"/>
    <w:rsid w:val="00104E67"/>
    <w:rsid w:val="00106166"/>
    <w:rsid w:val="00110810"/>
    <w:rsid w:val="001127D9"/>
    <w:rsid w:val="00114B1B"/>
    <w:rsid w:val="001152A6"/>
    <w:rsid w:val="00115860"/>
    <w:rsid w:val="001166D3"/>
    <w:rsid w:val="00116820"/>
    <w:rsid w:val="001173E5"/>
    <w:rsid w:val="00122656"/>
    <w:rsid w:val="0012522F"/>
    <w:rsid w:val="00130DF5"/>
    <w:rsid w:val="00132CBE"/>
    <w:rsid w:val="001335E8"/>
    <w:rsid w:val="0013642A"/>
    <w:rsid w:val="001421A3"/>
    <w:rsid w:val="00144FC9"/>
    <w:rsid w:val="00147591"/>
    <w:rsid w:val="00152A5A"/>
    <w:rsid w:val="001552B6"/>
    <w:rsid w:val="001614CD"/>
    <w:rsid w:val="00161EAE"/>
    <w:rsid w:val="0016272C"/>
    <w:rsid w:val="0016331B"/>
    <w:rsid w:val="001634B9"/>
    <w:rsid w:val="0017214C"/>
    <w:rsid w:val="00173D20"/>
    <w:rsid w:val="00174837"/>
    <w:rsid w:val="00175495"/>
    <w:rsid w:val="001774E5"/>
    <w:rsid w:val="0018040E"/>
    <w:rsid w:val="00181BCD"/>
    <w:rsid w:val="0018314C"/>
    <w:rsid w:val="00191E26"/>
    <w:rsid w:val="001960CA"/>
    <w:rsid w:val="00196127"/>
    <w:rsid w:val="00196C58"/>
    <w:rsid w:val="001A26D0"/>
    <w:rsid w:val="001A69CE"/>
    <w:rsid w:val="001B1E40"/>
    <w:rsid w:val="001C19F5"/>
    <w:rsid w:val="001C462E"/>
    <w:rsid w:val="001C6808"/>
    <w:rsid w:val="001C6C9E"/>
    <w:rsid w:val="001C7340"/>
    <w:rsid w:val="001D00DB"/>
    <w:rsid w:val="001D029E"/>
    <w:rsid w:val="001D03AD"/>
    <w:rsid w:val="001D18C4"/>
    <w:rsid w:val="001D1BDA"/>
    <w:rsid w:val="001D274F"/>
    <w:rsid w:val="001D3EF4"/>
    <w:rsid w:val="001D7651"/>
    <w:rsid w:val="001E07CC"/>
    <w:rsid w:val="001E1DDC"/>
    <w:rsid w:val="001E29C2"/>
    <w:rsid w:val="001E2B8D"/>
    <w:rsid w:val="001E2E0B"/>
    <w:rsid w:val="001E3B4E"/>
    <w:rsid w:val="001E41C5"/>
    <w:rsid w:val="001E6EC4"/>
    <w:rsid w:val="001E7846"/>
    <w:rsid w:val="001F0FA5"/>
    <w:rsid w:val="001F41A7"/>
    <w:rsid w:val="001F47E2"/>
    <w:rsid w:val="00200D41"/>
    <w:rsid w:val="00201176"/>
    <w:rsid w:val="0020189F"/>
    <w:rsid w:val="002029D8"/>
    <w:rsid w:val="00205904"/>
    <w:rsid w:val="00206669"/>
    <w:rsid w:val="00206CA8"/>
    <w:rsid w:val="002207DA"/>
    <w:rsid w:val="00220ED6"/>
    <w:rsid w:val="00220FD6"/>
    <w:rsid w:val="00221071"/>
    <w:rsid w:val="0022419A"/>
    <w:rsid w:val="0022457B"/>
    <w:rsid w:val="002245AB"/>
    <w:rsid w:val="00227679"/>
    <w:rsid w:val="00232D4C"/>
    <w:rsid w:val="002342A3"/>
    <w:rsid w:val="002344E1"/>
    <w:rsid w:val="00236BE4"/>
    <w:rsid w:val="00240491"/>
    <w:rsid w:val="00242044"/>
    <w:rsid w:val="00243286"/>
    <w:rsid w:val="002434DA"/>
    <w:rsid w:val="002443FD"/>
    <w:rsid w:val="002449E4"/>
    <w:rsid w:val="0024516F"/>
    <w:rsid w:val="00252BE7"/>
    <w:rsid w:val="002538AF"/>
    <w:rsid w:val="00257128"/>
    <w:rsid w:val="00257188"/>
    <w:rsid w:val="0026003E"/>
    <w:rsid w:val="0026163B"/>
    <w:rsid w:val="00262163"/>
    <w:rsid w:val="002626C5"/>
    <w:rsid w:val="0026390F"/>
    <w:rsid w:val="00267BF9"/>
    <w:rsid w:val="002722F4"/>
    <w:rsid w:val="002823CA"/>
    <w:rsid w:val="002824BB"/>
    <w:rsid w:val="002825CA"/>
    <w:rsid w:val="0028446D"/>
    <w:rsid w:val="00284DEB"/>
    <w:rsid w:val="002862F5"/>
    <w:rsid w:val="00290B7D"/>
    <w:rsid w:val="00293B77"/>
    <w:rsid w:val="00295C4E"/>
    <w:rsid w:val="00297B7E"/>
    <w:rsid w:val="002A1FEE"/>
    <w:rsid w:val="002A362A"/>
    <w:rsid w:val="002A5BB8"/>
    <w:rsid w:val="002A775D"/>
    <w:rsid w:val="002A7A59"/>
    <w:rsid w:val="002A7C78"/>
    <w:rsid w:val="002A7E9D"/>
    <w:rsid w:val="002B0225"/>
    <w:rsid w:val="002B331E"/>
    <w:rsid w:val="002B4051"/>
    <w:rsid w:val="002B54A8"/>
    <w:rsid w:val="002B5DCF"/>
    <w:rsid w:val="002B6E67"/>
    <w:rsid w:val="002C0800"/>
    <w:rsid w:val="002C0BCD"/>
    <w:rsid w:val="002C17D1"/>
    <w:rsid w:val="002C3C9B"/>
    <w:rsid w:val="002C74DA"/>
    <w:rsid w:val="002D1307"/>
    <w:rsid w:val="002D2175"/>
    <w:rsid w:val="002D39A2"/>
    <w:rsid w:val="002D42C1"/>
    <w:rsid w:val="002D4DCB"/>
    <w:rsid w:val="002D6B3C"/>
    <w:rsid w:val="002E13A6"/>
    <w:rsid w:val="002E2E82"/>
    <w:rsid w:val="002E3A67"/>
    <w:rsid w:val="002E4993"/>
    <w:rsid w:val="002E4D41"/>
    <w:rsid w:val="002F19BE"/>
    <w:rsid w:val="002F35EC"/>
    <w:rsid w:val="002F3702"/>
    <w:rsid w:val="002F4AE5"/>
    <w:rsid w:val="002F4C38"/>
    <w:rsid w:val="002F6D12"/>
    <w:rsid w:val="002F6FFC"/>
    <w:rsid w:val="002F7906"/>
    <w:rsid w:val="00300346"/>
    <w:rsid w:val="0030038F"/>
    <w:rsid w:val="003005D3"/>
    <w:rsid w:val="003036B9"/>
    <w:rsid w:val="00303A61"/>
    <w:rsid w:val="003057C3"/>
    <w:rsid w:val="003108CE"/>
    <w:rsid w:val="00310FCB"/>
    <w:rsid w:val="003121BF"/>
    <w:rsid w:val="003122FC"/>
    <w:rsid w:val="003126DF"/>
    <w:rsid w:val="00314123"/>
    <w:rsid w:val="003142CA"/>
    <w:rsid w:val="00314EAC"/>
    <w:rsid w:val="003173C5"/>
    <w:rsid w:val="00317DE5"/>
    <w:rsid w:val="00317FF1"/>
    <w:rsid w:val="00320056"/>
    <w:rsid w:val="00320228"/>
    <w:rsid w:val="0032421C"/>
    <w:rsid w:val="00325EA7"/>
    <w:rsid w:val="003278AE"/>
    <w:rsid w:val="003313F7"/>
    <w:rsid w:val="00331F7D"/>
    <w:rsid w:val="003325F2"/>
    <w:rsid w:val="003356AA"/>
    <w:rsid w:val="003401CC"/>
    <w:rsid w:val="003406DF"/>
    <w:rsid w:val="003409FA"/>
    <w:rsid w:val="0034229D"/>
    <w:rsid w:val="0034779E"/>
    <w:rsid w:val="0035044B"/>
    <w:rsid w:val="00352162"/>
    <w:rsid w:val="003532F1"/>
    <w:rsid w:val="003611E2"/>
    <w:rsid w:val="00361A34"/>
    <w:rsid w:val="00362578"/>
    <w:rsid w:val="00364A41"/>
    <w:rsid w:val="00364CCE"/>
    <w:rsid w:val="00365742"/>
    <w:rsid w:val="00365A27"/>
    <w:rsid w:val="00365EE3"/>
    <w:rsid w:val="0036724A"/>
    <w:rsid w:val="003707FA"/>
    <w:rsid w:val="00370B86"/>
    <w:rsid w:val="00373BE6"/>
    <w:rsid w:val="003751C3"/>
    <w:rsid w:val="0037713E"/>
    <w:rsid w:val="00384F4C"/>
    <w:rsid w:val="00385A80"/>
    <w:rsid w:val="003941CE"/>
    <w:rsid w:val="00394834"/>
    <w:rsid w:val="00394BF0"/>
    <w:rsid w:val="003A039D"/>
    <w:rsid w:val="003A0C2A"/>
    <w:rsid w:val="003A162A"/>
    <w:rsid w:val="003A275C"/>
    <w:rsid w:val="003A3985"/>
    <w:rsid w:val="003A3F4D"/>
    <w:rsid w:val="003A502B"/>
    <w:rsid w:val="003A6055"/>
    <w:rsid w:val="003B193A"/>
    <w:rsid w:val="003B2B39"/>
    <w:rsid w:val="003B2DE0"/>
    <w:rsid w:val="003B36C7"/>
    <w:rsid w:val="003B3768"/>
    <w:rsid w:val="003B3FF8"/>
    <w:rsid w:val="003B440A"/>
    <w:rsid w:val="003B548E"/>
    <w:rsid w:val="003B60D9"/>
    <w:rsid w:val="003C22F7"/>
    <w:rsid w:val="003C2A66"/>
    <w:rsid w:val="003C5726"/>
    <w:rsid w:val="003C5C7B"/>
    <w:rsid w:val="003D0C69"/>
    <w:rsid w:val="003D1647"/>
    <w:rsid w:val="003D19DA"/>
    <w:rsid w:val="003D3EB9"/>
    <w:rsid w:val="003D58E1"/>
    <w:rsid w:val="003D5BB1"/>
    <w:rsid w:val="003D6BC4"/>
    <w:rsid w:val="003D7E5C"/>
    <w:rsid w:val="003E0E19"/>
    <w:rsid w:val="003E414B"/>
    <w:rsid w:val="003E65CE"/>
    <w:rsid w:val="003F03E3"/>
    <w:rsid w:val="003F17A9"/>
    <w:rsid w:val="003F33E4"/>
    <w:rsid w:val="003F39C5"/>
    <w:rsid w:val="003F4460"/>
    <w:rsid w:val="003F476C"/>
    <w:rsid w:val="003F4D5D"/>
    <w:rsid w:val="003F5625"/>
    <w:rsid w:val="003F7571"/>
    <w:rsid w:val="00400CCA"/>
    <w:rsid w:val="00401475"/>
    <w:rsid w:val="00401890"/>
    <w:rsid w:val="00402DEE"/>
    <w:rsid w:val="004032B8"/>
    <w:rsid w:val="0040335C"/>
    <w:rsid w:val="004033D3"/>
    <w:rsid w:val="0040343C"/>
    <w:rsid w:val="00405897"/>
    <w:rsid w:val="0040724E"/>
    <w:rsid w:val="00410E9E"/>
    <w:rsid w:val="00414F52"/>
    <w:rsid w:val="00420F43"/>
    <w:rsid w:val="00420F4A"/>
    <w:rsid w:val="00422E89"/>
    <w:rsid w:val="00423544"/>
    <w:rsid w:val="00423B05"/>
    <w:rsid w:val="00423B45"/>
    <w:rsid w:val="00424086"/>
    <w:rsid w:val="0042601F"/>
    <w:rsid w:val="0043051E"/>
    <w:rsid w:val="0043100E"/>
    <w:rsid w:val="00431173"/>
    <w:rsid w:val="004329D0"/>
    <w:rsid w:val="004353BF"/>
    <w:rsid w:val="00435F70"/>
    <w:rsid w:val="00436B6C"/>
    <w:rsid w:val="00441630"/>
    <w:rsid w:val="0044481A"/>
    <w:rsid w:val="00444BC7"/>
    <w:rsid w:val="004476F8"/>
    <w:rsid w:val="00450BAA"/>
    <w:rsid w:val="00451AB7"/>
    <w:rsid w:val="00454641"/>
    <w:rsid w:val="00455E47"/>
    <w:rsid w:val="00456006"/>
    <w:rsid w:val="004565F2"/>
    <w:rsid w:val="004576F8"/>
    <w:rsid w:val="00457C4F"/>
    <w:rsid w:val="0046071F"/>
    <w:rsid w:val="0046186F"/>
    <w:rsid w:val="00461C11"/>
    <w:rsid w:val="00466004"/>
    <w:rsid w:val="00466834"/>
    <w:rsid w:val="004707A9"/>
    <w:rsid w:val="0047081C"/>
    <w:rsid w:val="00473B49"/>
    <w:rsid w:val="004758B9"/>
    <w:rsid w:val="00476853"/>
    <w:rsid w:val="0047719C"/>
    <w:rsid w:val="004778A7"/>
    <w:rsid w:val="0048117A"/>
    <w:rsid w:val="004833A3"/>
    <w:rsid w:val="00484F9E"/>
    <w:rsid w:val="00487DEA"/>
    <w:rsid w:val="00493193"/>
    <w:rsid w:val="004933D9"/>
    <w:rsid w:val="00495FF8"/>
    <w:rsid w:val="004A071B"/>
    <w:rsid w:val="004A0769"/>
    <w:rsid w:val="004A1085"/>
    <w:rsid w:val="004A195F"/>
    <w:rsid w:val="004A458C"/>
    <w:rsid w:val="004A6230"/>
    <w:rsid w:val="004A6D8A"/>
    <w:rsid w:val="004A6FA0"/>
    <w:rsid w:val="004B0037"/>
    <w:rsid w:val="004B06DE"/>
    <w:rsid w:val="004B3207"/>
    <w:rsid w:val="004B3D3B"/>
    <w:rsid w:val="004B4ECF"/>
    <w:rsid w:val="004B6BC3"/>
    <w:rsid w:val="004B74DC"/>
    <w:rsid w:val="004C2A2C"/>
    <w:rsid w:val="004C33A2"/>
    <w:rsid w:val="004C3DDC"/>
    <w:rsid w:val="004C3F08"/>
    <w:rsid w:val="004C7DF5"/>
    <w:rsid w:val="004D0B1E"/>
    <w:rsid w:val="004D0BA9"/>
    <w:rsid w:val="004D424E"/>
    <w:rsid w:val="004D5385"/>
    <w:rsid w:val="004E15E8"/>
    <w:rsid w:val="004E31E1"/>
    <w:rsid w:val="004E5896"/>
    <w:rsid w:val="004E61C8"/>
    <w:rsid w:val="004F15C5"/>
    <w:rsid w:val="004F1F85"/>
    <w:rsid w:val="004F4B07"/>
    <w:rsid w:val="004F5D55"/>
    <w:rsid w:val="00502FD3"/>
    <w:rsid w:val="00503301"/>
    <w:rsid w:val="005034B0"/>
    <w:rsid w:val="00503D21"/>
    <w:rsid w:val="00503F38"/>
    <w:rsid w:val="005063D2"/>
    <w:rsid w:val="005107A6"/>
    <w:rsid w:val="00511665"/>
    <w:rsid w:val="005131C5"/>
    <w:rsid w:val="005136F7"/>
    <w:rsid w:val="00514467"/>
    <w:rsid w:val="00516110"/>
    <w:rsid w:val="00516681"/>
    <w:rsid w:val="005212A9"/>
    <w:rsid w:val="005217F9"/>
    <w:rsid w:val="0052496B"/>
    <w:rsid w:val="00530787"/>
    <w:rsid w:val="005319EC"/>
    <w:rsid w:val="00531DC9"/>
    <w:rsid w:val="00533325"/>
    <w:rsid w:val="0053348A"/>
    <w:rsid w:val="00533DA1"/>
    <w:rsid w:val="005342E9"/>
    <w:rsid w:val="0053430C"/>
    <w:rsid w:val="005404CE"/>
    <w:rsid w:val="00540996"/>
    <w:rsid w:val="0054138F"/>
    <w:rsid w:val="00541DE7"/>
    <w:rsid w:val="005427E4"/>
    <w:rsid w:val="00542ED3"/>
    <w:rsid w:val="00545815"/>
    <w:rsid w:val="0055115D"/>
    <w:rsid w:val="0055156D"/>
    <w:rsid w:val="0055598D"/>
    <w:rsid w:val="00563943"/>
    <w:rsid w:val="00563D49"/>
    <w:rsid w:val="005668DA"/>
    <w:rsid w:val="0057060E"/>
    <w:rsid w:val="005718B9"/>
    <w:rsid w:val="00572090"/>
    <w:rsid w:val="00575710"/>
    <w:rsid w:val="005762E1"/>
    <w:rsid w:val="005774A9"/>
    <w:rsid w:val="00580185"/>
    <w:rsid w:val="0058138A"/>
    <w:rsid w:val="00583950"/>
    <w:rsid w:val="00583CDE"/>
    <w:rsid w:val="00584DF2"/>
    <w:rsid w:val="00585FFD"/>
    <w:rsid w:val="0058643F"/>
    <w:rsid w:val="0058779D"/>
    <w:rsid w:val="00587807"/>
    <w:rsid w:val="00587D8C"/>
    <w:rsid w:val="00587EE5"/>
    <w:rsid w:val="00590685"/>
    <w:rsid w:val="00595FBD"/>
    <w:rsid w:val="005960A4"/>
    <w:rsid w:val="00597032"/>
    <w:rsid w:val="005A01E8"/>
    <w:rsid w:val="005A166F"/>
    <w:rsid w:val="005A77F5"/>
    <w:rsid w:val="005B0465"/>
    <w:rsid w:val="005B1407"/>
    <w:rsid w:val="005B28C9"/>
    <w:rsid w:val="005B5DD3"/>
    <w:rsid w:val="005B601A"/>
    <w:rsid w:val="005C2FD1"/>
    <w:rsid w:val="005C38C1"/>
    <w:rsid w:val="005C5D1A"/>
    <w:rsid w:val="005C6653"/>
    <w:rsid w:val="005D100A"/>
    <w:rsid w:val="005D1037"/>
    <w:rsid w:val="005D670A"/>
    <w:rsid w:val="005D69A6"/>
    <w:rsid w:val="005E0CD9"/>
    <w:rsid w:val="005E139B"/>
    <w:rsid w:val="005E1810"/>
    <w:rsid w:val="005E72F1"/>
    <w:rsid w:val="005E7E62"/>
    <w:rsid w:val="005F1725"/>
    <w:rsid w:val="005F1D33"/>
    <w:rsid w:val="005F2D63"/>
    <w:rsid w:val="005F2F6F"/>
    <w:rsid w:val="005F3AC8"/>
    <w:rsid w:val="005F3C4C"/>
    <w:rsid w:val="006067D9"/>
    <w:rsid w:val="006075FA"/>
    <w:rsid w:val="006118FF"/>
    <w:rsid w:val="00611D74"/>
    <w:rsid w:val="00614FDD"/>
    <w:rsid w:val="00615520"/>
    <w:rsid w:val="006165B8"/>
    <w:rsid w:val="0061737D"/>
    <w:rsid w:val="00620043"/>
    <w:rsid w:val="006212A9"/>
    <w:rsid w:val="006271F1"/>
    <w:rsid w:val="006272F5"/>
    <w:rsid w:val="00627A2C"/>
    <w:rsid w:val="00631A46"/>
    <w:rsid w:val="006324EB"/>
    <w:rsid w:val="00633081"/>
    <w:rsid w:val="00633571"/>
    <w:rsid w:val="00633591"/>
    <w:rsid w:val="00635450"/>
    <w:rsid w:val="00635F87"/>
    <w:rsid w:val="006366B3"/>
    <w:rsid w:val="00636706"/>
    <w:rsid w:val="00637F87"/>
    <w:rsid w:val="0064073A"/>
    <w:rsid w:val="00640E04"/>
    <w:rsid w:val="0064273F"/>
    <w:rsid w:val="00642C8F"/>
    <w:rsid w:val="00647483"/>
    <w:rsid w:val="00651D62"/>
    <w:rsid w:val="006556CA"/>
    <w:rsid w:val="0066255A"/>
    <w:rsid w:val="00662D28"/>
    <w:rsid w:val="00664769"/>
    <w:rsid w:val="0066650E"/>
    <w:rsid w:val="00667EDC"/>
    <w:rsid w:val="00670FB3"/>
    <w:rsid w:val="006727C5"/>
    <w:rsid w:val="00672977"/>
    <w:rsid w:val="006735E2"/>
    <w:rsid w:val="006741DB"/>
    <w:rsid w:val="00682B6F"/>
    <w:rsid w:val="006833A1"/>
    <w:rsid w:val="00684F59"/>
    <w:rsid w:val="006874AA"/>
    <w:rsid w:val="00691D59"/>
    <w:rsid w:val="0069295C"/>
    <w:rsid w:val="00696FD3"/>
    <w:rsid w:val="006A3137"/>
    <w:rsid w:val="006A369D"/>
    <w:rsid w:val="006A4B8E"/>
    <w:rsid w:val="006A64BE"/>
    <w:rsid w:val="006A7EE1"/>
    <w:rsid w:val="006B1B07"/>
    <w:rsid w:val="006B1C16"/>
    <w:rsid w:val="006B2819"/>
    <w:rsid w:val="006B2B95"/>
    <w:rsid w:val="006B7AD0"/>
    <w:rsid w:val="006B7BED"/>
    <w:rsid w:val="006C2273"/>
    <w:rsid w:val="006C2EEB"/>
    <w:rsid w:val="006C37C9"/>
    <w:rsid w:val="006C4F5A"/>
    <w:rsid w:val="006C59D7"/>
    <w:rsid w:val="006D22D4"/>
    <w:rsid w:val="006D47D3"/>
    <w:rsid w:val="006D6176"/>
    <w:rsid w:val="006D692B"/>
    <w:rsid w:val="006E00BB"/>
    <w:rsid w:val="006E1584"/>
    <w:rsid w:val="006E43DA"/>
    <w:rsid w:val="006E5513"/>
    <w:rsid w:val="006E56F2"/>
    <w:rsid w:val="006E7C2F"/>
    <w:rsid w:val="006F0542"/>
    <w:rsid w:val="006F0D91"/>
    <w:rsid w:val="006F24AE"/>
    <w:rsid w:val="006F65F1"/>
    <w:rsid w:val="006F6A83"/>
    <w:rsid w:val="006F6B9C"/>
    <w:rsid w:val="006F7938"/>
    <w:rsid w:val="006F7C3F"/>
    <w:rsid w:val="007006E6"/>
    <w:rsid w:val="00700B76"/>
    <w:rsid w:val="007012D8"/>
    <w:rsid w:val="00701843"/>
    <w:rsid w:val="00704375"/>
    <w:rsid w:val="00704579"/>
    <w:rsid w:val="00707042"/>
    <w:rsid w:val="0071192B"/>
    <w:rsid w:val="007122D6"/>
    <w:rsid w:val="00714278"/>
    <w:rsid w:val="00714600"/>
    <w:rsid w:val="00714F4D"/>
    <w:rsid w:val="007154A4"/>
    <w:rsid w:val="007158C2"/>
    <w:rsid w:val="00715C2F"/>
    <w:rsid w:val="007160FA"/>
    <w:rsid w:val="0071740C"/>
    <w:rsid w:val="007214E4"/>
    <w:rsid w:val="0072239B"/>
    <w:rsid w:val="00722B65"/>
    <w:rsid w:val="007232F8"/>
    <w:rsid w:val="007306C2"/>
    <w:rsid w:val="00731D23"/>
    <w:rsid w:val="00732A1E"/>
    <w:rsid w:val="00735BA5"/>
    <w:rsid w:val="00737C60"/>
    <w:rsid w:val="00740D03"/>
    <w:rsid w:val="0074455B"/>
    <w:rsid w:val="00744B87"/>
    <w:rsid w:val="00745819"/>
    <w:rsid w:val="00746D05"/>
    <w:rsid w:val="00750EC6"/>
    <w:rsid w:val="00751BC0"/>
    <w:rsid w:val="007527F0"/>
    <w:rsid w:val="0075467D"/>
    <w:rsid w:val="00754694"/>
    <w:rsid w:val="0076412E"/>
    <w:rsid w:val="007652ED"/>
    <w:rsid w:val="00772E77"/>
    <w:rsid w:val="00774463"/>
    <w:rsid w:val="00774837"/>
    <w:rsid w:val="00776CF9"/>
    <w:rsid w:val="00783346"/>
    <w:rsid w:val="007864B0"/>
    <w:rsid w:val="007874A7"/>
    <w:rsid w:val="007879BC"/>
    <w:rsid w:val="0079073B"/>
    <w:rsid w:val="007910C2"/>
    <w:rsid w:val="00792101"/>
    <w:rsid w:val="00792665"/>
    <w:rsid w:val="00792E72"/>
    <w:rsid w:val="007944ED"/>
    <w:rsid w:val="007945A7"/>
    <w:rsid w:val="00794B76"/>
    <w:rsid w:val="00794F37"/>
    <w:rsid w:val="007960F4"/>
    <w:rsid w:val="0079678F"/>
    <w:rsid w:val="00797515"/>
    <w:rsid w:val="00797818"/>
    <w:rsid w:val="007A17DD"/>
    <w:rsid w:val="007A22FD"/>
    <w:rsid w:val="007A67DE"/>
    <w:rsid w:val="007A70D8"/>
    <w:rsid w:val="007A719D"/>
    <w:rsid w:val="007A77DF"/>
    <w:rsid w:val="007B06B3"/>
    <w:rsid w:val="007B223C"/>
    <w:rsid w:val="007B2D64"/>
    <w:rsid w:val="007B34BA"/>
    <w:rsid w:val="007B5F00"/>
    <w:rsid w:val="007C4260"/>
    <w:rsid w:val="007C4551"/>
    <w:rsid w:val="007C7540"/>
    <w:rsid w:val="007C77D1"/>
    <w:rsid w:val="007D206A"/>
    <w:rsid w:val="007D221E"/>
    <w:rsid w:val="007D4B1E"/>
    <w:rsid w:val="007D52FF"/>
    <w:rsid w:val="007D5536"/>
    <w:rsid w:val="007D6683"/>
    <w:rsid w:val="007D6F8C"/>
    <w:rsid w:val="007E1FF3"/>
    <w:rsid w:val="007E29EE"/>
    <w:rsid w:val="007E3C6B"/>
    <w:rsid w:val="007E5435"/>
    <w:rsid w:val="007E5760"/>
    <w:rsid w:val="007E587A"/>
    <w:rsid w:val="007E6EBB"/>
    <w:rsid w:val="007E75C3"/>
    <w:rsid w:val="007F101F"/>
    <w:rsid w:val="007F10EF"/>
    <w:rsid w:val="007F22E6"/>
    <w:rsid w:val="007F269D"/>
    <w:rsid w:val="007F41FC"/>
    <w:rsid w:val="007F6C1A"/>
    <w:rsid w:val="007F7E05"/>
    <w:rsid w:val="007F7E66"/>
    <w:rsid w:val="00801A52"/>
    <w:rsid w:val="008035A7"/>
    <w:rsid w:val="00803B97"/>
    <w:rsid w:val="0080550F"/>
    <w:rsid w:val="00805A21"/>
    <w:rsid w:val="00805E14"/>
    <w:rsid w:val="00807646"/>
    <w:rsid w:val="00816127"/>
    <w:rsid w:val="00817935"/>
    <w:rsid w:val="00820915"/>
    <w:rsid w:val="008236EF"/>
    <w:rsid w:val="0082725E"/>
    <w:rsid w:val="00830439"/>
    <w:rsid w:val="00831D53"/>
    <w:rsid w:val="00833455"/>
    <w:rsid w:val="0083414A"/>
    <w:rsid w:val="0084016D"/>
    <w:rsid w:val="008409E0"/>
    <w:rsid w:val="00841F59"/>
    <w:rsid w:val="00847909"/>
    <w:rsid w:val="0084793B"/>
    <w:rsid w:val="00851E5E"/>
    <w:rsid w:val="0085415F"/>
    <w:rsid w:val="00857113"/>
    <w:rsid w:val="00857CB3"/>
    <w:rsid w:val="00862803"/>
    <w:rsid w:val="00863152"/>
    <w:rsid w:val="008636FA"/>
    <w:rsid w:val="0086376D"/>
    <w:rsid w:val="008653F4"/>
    <w:rsid w:val="00866D36"/>
    <w:rsid w:val="00867682"/>
    <w:rsid w:val="00867B92"/>
    <w:rsid w:val="00877189"/>
    <w:rsid w:val="008805DD"/>
    <w:rsid w:val="008808BC"/>
    <w:rsid w:val="00881F69"/>
    <w:rsid w:val="00882322"/>
    <w:rsid w:val="00885BDC"/>
    <w:rsid w:val="00886005"/>
    <w:rsid w:val="008863AB"/>
    <w:rsid w:val="00886BEC"/>
    <w:rsid w:val="00887385"/>
    <w:rsid w:val="00893ABA"/>
    <w:rsid w:val="00894932"/>
    <w:rsid w:val="00895784"/>
    <w:rsid w:val="008A1030"/>
    <w:rsid w:val="008A1DFA"/>
    <w:rsid w:val="008A31F2"/>
    <w:rsid w:val="008A3A25"/>
    <w:rsid w:val="008A59D7"/>
    <w:rsid w:val="008A63DE"/>
    <w:rsid w:val="008A78E7"/>
    <w:rsid w:val="008B0C1A"/>
    <w:rsid w:val="008B1BB6"/>
    <w:rsid w:val="008B2435"/>
    <w:rsid w:val="008B3006"/>
    <w:rsid w:val="008C1861"/>
    <w:rsid w:val="008C2270"/>
    <w:rsid w:val="008C3688"/>
    <w:rsid w:val="008C5F98"/>
    <w:rsid w:val="008C67E6"/>
    <w:rsid w:val="008D1F61"/>
    <w:rsid w:val="008D224B"/>
    <w:rsid w:val="008D39C8"/>
    <w:rsid w:val="008D3C56"/>
    <w:rsid w:val="008D65E0"/>
    <w:rsid w:val="008E0C1D"/>
    <w:rsid w:val="008E1BDE"/>
    <w:rsid w:val="008E4147"/>
    <w:rsid w:val="008E4B63"/>
    <w:rsid w:val="008E7088"/>
    <w:rsid w:val="008E73D2"/>
    <w:rsid w:val="008E7AC6"/>
    <w:rsid w:val="008F0E56"/>
    <w:rsid w:val="008F18A3"/>
    <w:rsid w:val="008F372B"/>
    <w:rsid w:val="008F4AE9"/>
    <w:rsid w:val="008F5011"/>
    <w:rsid w:val="008F54B0"/>
    <w:rsid w:val="008F6AED"/>
    <w:rsid w:val="008F7172"/>
    <w:rsid w:val="008F775B"/>
    <w:rsid w:val="008F7A59"/>
    <w:rsid w:val="008F7C92"/>
    <w:rsid w:val="008F7DE9"/>
    <w:rsid w:val="0090155A"/>
    <w:rsid w:val="00902066"/>
    <w:rsid w:val="00904DF6"/>
    <w:rsid w:val="009111E7"/>
    <w:rsid w:val="00911A59"/>
    <w:rsid w:val="009155D4"/>
    <w:rsid w:val="00916BEF"/>
    <w:rsid w:val="00916C62"/>
    <w:rsid w:val="00916D16"/>
    <w:rsid w:val="009200F7"/>
    <w:rsid w:val="009203D9"/>
    <w:rsid w:val="00920949"/>
    <w:rsid w:val="009212B7"/>
    <w:rsid w:val="00921861"/>
    <w:rsid w:val="00921E1C"/>
    <w:rsid w:val="00922963"/>
    <w:rsid w:val="00922B6B"/>
    <w:rsid w:val="0093011E"/>
    <w:rsid w:val="00932198"/>
    <w:rsid w:val="009350BE"/>
    <w:rsid w:val="00935EB9"/>
    <w:rsid w:val="00937270"/>
    <w:rsid w:val="009412BE"/>
    <w:rsid w:val="00941E5D"/>
    <w:rsid w:val="009442BB"/>
    <w:rsid w:val="009454B6"/>
    <w:rsid w:val="00946DFC"/>
    <w:rsid w:val="0094798E"/>
    <w:rsid w:val="0095208D"/>
    <w:rsid w:val="00952B10"/>
    <w:rsid w:val="009546AF"/>
    <w:rsid w:val="00954D07"/>
    <w:rsid w:val="009557D1"/>
    <w:rsid w:val="00956C82"/>
    <w:rsid w:val="0095753C"/>
    <w:rsid w:val="00957842"/>
    <w:rsid w:val="00962E28"/>
    <w:rsid w:val="0096383C"/>
    <w:rsid w:val="00964DFA"/>
    <w:rsid w:val="00965AE6"/>
    <w:rsid w:val="00967550"/>
    <w:rsid w:val="00971145"/>
    <w:rsid w:val="009746D2"/>
    <w:rsid w:val="00974947"/>
    <w:rsid w:val="0097515C"/>
    <w:rsid w:val="00975FD6"/>
    <w:rsid w:val="00976427"/>
    <w:rsid w:val="00976AF1"/>
    <w:rsid w:val="00977A20"/>
    <w:rsid w:val="009815F4"/>
    <w:rsid w:val="009838FA"/>
    <w:rsid w:val="0098628B"/>
    <w:rsid w:val="00986A11"/>
    <w:rsid w:val="009876D9"/>
    <w:rsid w:val="009913FC"/>
    <w:rsid w:val="009923FD"/>
    <w:rsid w:val="00992FCA"/>
    <w:rsid w:val="009938A0"/>
    <w:rsid w:val="009940C9"/>
    <w:rsid w:val="00995ADC"/>
    <w:rsid w:val="00996E04"/>
    <w:rsid w:val="009A108B"/>
    <w:rsid w:val="009A14B9"/>
    <w:rsid w:val="009A3433"/>
    <w:rsid w:val="009A37A9"/>
    <w:rsid w:val="009A3A35"/>
    <w:rsid w:val="009A609A"/>
    <w:rsid w:val="009A720D"/>
    <w:rsid w:val="009B222A"/>
    <w:rsid w:val="009B2C40"/>
    <w:rsid w:val="009B4A89"/>
    <w:rsid w:val="009B67E5"/>
    <w:rsid w:val="009B74F7"/>
    <w:rsid w:val="009B7A9C"/>
    <w:rsid w:val="009C0735"/>
    <w:rsid w:val="009C0F89"/>
    <w:rsid w:val="009C75A2"/>
    <w:rsid w:val="009C7E1F"/>
    <w:rsid w:val="009D151D"/>
    <w:rsid w:val="009D16AD"/>
    <w:rsid w:val="009D341F"/>
    <w:rsid w:val="009D4F3A"/>
    <w:rsid w:val="009D7AE8"/>
    <w:rsid w:val="009E1318"/>
    <w:rsid w:val="009E159A"/>
    <w:rsid w:val="009E2421"/>
    <w:rsid w:val="009E48BB"/>
    <w:rsid w:val="009E68A8"/>
    <w:rsid w:val="009E73C0"/>
    <w:rsid w:val="009F35E1"/>
    <w:rsid w:val="009F7C9B"/>
    <w:rsid w:val="00A154CE"/>
    <w:rsid w:val="00A15AF6"/>
    <w:rsid w:val="00A253BC"/>
    <w:rsid w:val="00A25733"/>
    <w:rsid w:val="00A25A23"/>
    <w:rsid w:val="00A25E1C"/>
    <w:rsid w:val="00A26512"/>
    <w:rsid w:val="00A26CA9"/>
    <w:rsid w:val="00A31898"/>
    <w:rsid w:val="00A32583"/>
    <w:rsid w:val="00A32E94"/>
    <w:rsid w:val="00A3731F"/>
    <w:rsid w:val="00A429D4"/>
    <w:rsid w:val="00A44835"/>
    <w:rsid w:val="00A45D3B"/>
    <w:rsid w:val="00A473D8"/>
    <w:rsid w:val="00A47936"/>
    <w:rsid w:val="00A50172"/>
    <w:rsid w:val="00A50DA0"/>
    <w:rsid w:val="00A53981"/>
    <w:rsid w:val="00A601B1"/>
    <w:rsid w:val="00A62525"/>
    <w:rsid w:val="00A637B7"/>
    <w:rsid w:val="00A63EB3"/>
    <w:rsid w:val="00A654C8"/>
    <w:rsid w:val="00A662DF"/>
    <w:rsid w:val="00A66A91"/>
    <w:rsid w:val="00A67E61"/>
    <w:rsid w:val="00A72688"/>
    <w:rsid w:val="00A7327F"/>
    <w:rsid w:val="00A74A0C"/>
    <w:rsid w:val="00A77A1D"/>
    <w:rsid w:val="00A80C9D"/>
    <w:rsid w:val="00A822E6"/>
    <w:rsid w:val="00A85430"/>
    <w:rsid w:val="00A86A9B"/>
    <w:rsid w:val="00A939AC"/>
    <w:rsid w:val="00A93AEF"/>
    <w:rsid w:val="00A946B5"/>
    <w:rsid w:val="00A9520C"/>
    <w:rsid w:val="00AA0B11"/>
    <w:rsid w:val="00AA55CE"/>
    <w:rsid w:val="00AA64D6"/>
    <w:rsid w:val="00AA6826"/>
    <w:rsid w:val="00AA6D2B"/>
    <w:rsid w:val="00AB0B71"/>
    <w:rsid w:val="00AB0D0F"/>
    <w:rsid w:val="00AB0F02"/>
    <w:rsid w:val="00AB279B"/>
    <w:rsid w:val="00AB4EC7"/>
    <w:rsid w:val="00AB5DBE"/>
    <w:rsid w:val="00AB6105"/>
    <w:rsid w:val="00AC04A3"/>
    <w:rsid w:val="00AC33C4"/>
    <w:rsid w:val="00AC4454"/>
    <w:rsid w:val="00AC6803"/>
    <w:rsid w:val="00AD0401"/>
    <w:rsid w:val="00AD2028"/>
    <w:rsid w:val="00AD23B7"/>
    <w:rsid w:val="00AD2CF2"/>
    <w:rsid w:val="00AD3081"/>
    <w:rsid w:val="00AD593E"/>
    <w:rsid w:val="00AE20E0"/>
    <w:rsid w:val="00AE6978"/>
    <w:rsid w:val="00AE7934"/>
    <w:rsid w:val="00AF0625"/>
    <w:rsid w:val="00AF0E81"/>
    <w:rsid w:val="00AF1BF6"/>
    <w:rsid w:val="00AF2107"/>
    <w:rsid w:val="00AF2529"/>
    <w:rsid w:val="00AF399C"/>
    <w:rsid w:val="00AF3BED"/>
    <w:rsid w:val="00AF5D0F"/>
    <w:rsid w:val="00AF6CF6"/>
    <w:rsid w:val="00AF7DED"/>
    <w:rsid w:val="00B00950"/>
    <w:rsid w:val="00B01F0A"/>
    <w:rsid w:val="00B054B3"/>
    <w:rsid w:val="00B057E7"/>
    <w:rsid w:val="00B05812"/>
    <w:rsid w:val="00B06355"/>
    <w:rsid w:val="00B100AE"/>
    <w:rsid w:val="00B12B93"/>
    <w:rsid w:val="00B1407C"/>
    <w:rsid w:val="00B17344"/>
    <w:rsid w:val="00B210EF"/>
    <w:rsid w:val="00B22979"/>
    <w:rsid w:val="00B22C09"/>
    <w:rsid w:val="00B236B5"/>
    <w:rsid w:val="00B23CDA"/>
    <w:rsid w:val="00B23DA5"/>
    <w:rsid w:val="00B25ED0"/>
    <w:rsid w:val="00B2637B"/>
    <w:rsid w:val="00B27829"/>
    <w:rsid w:val="00B315EB"/>
    <w:rsid w:val="00B31640"/>
    <w:rsid w:val="00B32FD8"/>
    <w:rsid w:val="00B34525"/>
    <w:rsid w:val="00B44807"/>
    <w:rsid w:val="00B4688D"/>
    <w:rsid w:val="00B51743"/>
    <w:rsid w:val="00B51870"/>
    <w:rsid w:val="00B52474"/>
    <w:rsid w:val="00B52926"/>
    <w:rsid w:val="00B54181"/>
    <w:rsid w:val="00B570B6"/>
    <w:rsid w:val="00B57569"/>
    <w:rsid w:val="00B57674"/>
    <w:rsid w:val="00B60A01"/>
    <w:rsid w:val="00B61096"/>
    <w:rsid w:val="00B64EDA"/>
    <w:rsid w:val="00B65EB4"/>
    <w:rsid w:val="00B668B1"/>
    <w:rsid w:val="00B7257C"/>
    <w:rsid w:val="00B734C3"/>
    <w:rsid w:val="00B73F99"/>
    <w:rsid w:val="00B74187"/>
    <w:rsid w:val="00B75CC9"/>
    <w:rsid w:val="00B7665A"/>
    <w:rsid w:val="00B76D21"/>
    <w:rsid w:val="00B80C7E"/>
    <w:rsid w:val="00B8186D"/>
    <w:rsid w:val="00B84EBD"/>
    <w:rsid w:val="00B84FB3"/>
    <w:rsid w:val="00B85392"/>
    <w:rsid w:val="00B912F2"/>
    <w:rsid w:val="00B94EEF"/>
    <w:rsid w:val="00BA53CE"/>
    <w:rsid w:val="00BA5487"/>
    <w:rsid w:val="00BB04A6"/>
    <w:rsid w:val="00BB12BC"/>
    <w:rsid w:val="00BB25C4"/>
    <w:rsid w:val="00BB37E1"/>
    <w:rsid w:val="00BB412F"/>
    <w:rsid w:val="00BB676D"/>
    <w:rsid w:val="00BC03D1"/>
    <w:rsid w:val="00BC439D"/>
    <w:rsid w:val="00BC505C"/>
    <w:rsid w:val="00BC506C"/>
    <w:rsid w:val="00BC740C"/>
    <w:rsid w:val="00BD0927"/>
    <w:rsid w:val="00BD0E09"/>
    <w:rsid w:val="00BD1A90"/>
    <w:rsid w:val="00BD2B04"/>
    <w:rsid w:val="00BD314B"/>
    <w:rsid w:val="00BD36BD"/>
    <w:rsid w:val="00BD5FB6"/>
    <w:rsid w:val="00BD6328"/>
    <w:rsid w:val="00BD7792"/>
    <w:rsid w:val="00BE0183"/>
    <w:rsid w:val="00BE15A1"/>
    <w:rsid w:val="00BE5358"/>
    <w:rsid w:val="00BE730A"/>
    <w:rsid w:val="00BF0BC3"/>
    <w:rsid w:val="00BF3C01"/>
    <w:rsid w:val="00BF52E7"/>
    <w:rsid w:val="00BF620E"/>
    <w:rsid w:val="00BF6C79"/>
    <w:rsid w:val="00BF75A2"/>
    <w:rsid w:val="00C0154D"/>
    <w:rsid w:val="00C015A8"/>
    <w:rsid w:val="00C02106"/>
    <w:rsid w:val="00C025A7"/>
    <w:rsid w:val="00C035E1"/>
    <w:rsid w:val="00C0360B"/>
    <w:rsid w:val="00C038EE"/>
    <w:rsid w:val="00C0696F"/>
    <w:rsid w:val="00C06CDC"/>
    <w:rsid w:val="00C117B8"/>
    <w:rsid w:val="00C14422"/>
    <w:rsid w:val="00C15459"/>
    <w:rsid w:val="00C15C78"/>
    <w:rsid w:val="00C15F20"/>
    <w:rsid w:val="00C16519"/>
    <w:rsid w:val="00C174A7"/>
    <w:rsid w:val="00C17D82"/>
    <w:rsid w:val="00C21F45"/>
    <w:rsid w:val="00C22A89"/>
    <w:rsid w:val="00C23E26"/>
    <w:rsid w:val="00C2609B"/>
    <w:rsid w:val="00C26635"/>
    <w:rsid w:val="00C26A3B"/>
    <w:rsid w:val="00C26F1D"/>
    <w:rsid w:val="00C27C2E"/>
    <w:rsid w:val="00C300A7"/>
    <w:rsid w:val="00C322FA"/>
    <w:rsid w:val="00C328B5"/>
    <w:rsid w:val="00C32A97"/>
    <w:rsid w:val="00C3441E"/>
    <w:rsid w:val="00C34EA0"/>
    <w:rsid w:val="00C35EDE"/>
    <w:rsid w:val="00C4057D"/>
    <w:rsid w:val="00C40E9A"/>
    <w:rsid w:val="00C4270F"/>
    <w:rsid w:val="00C43764"/>
    <w:rsid w:val="00C46435"/>
    <w:rsid w:val="00C50193"/>
    <w:rsid w:val="00C50555"/>
    <w:rsid w:val="00C508BD"/>
    <w:rsid w:val="00C5203B"/>
    <w:rsid w:val="00C520F3"/>
    <w:rsid w:val="00C524CF"/>
    <w:rsid w:val="00C5256F"/>
    <w:rsid w:val="00C54469"/>
    <w:rsid w:val="00C5630A"/>
    <w:rsid w:val="00C61770"/>
    <w:rsid w:val="00C63A9D"/>
    <w:rsid w:val="00C652ED"/>
    <w:rsid w:val="00C66F68"/>
    <w:rsid w:val="00C6720D"/>
    <w:rsid w:val="00C710BB"/>
    <w:rsid w:val="00C736B4"/>
    <w:rsid w:val="00C7399A"/>
    <w:rsid w:val="00C73FBC"/>
    <w:rsid w:val="00C76B1C"/>
    <w:rsid w:val="00C77355"/>
    <w:rsid w:val="00C80A67"/>
    <w:rsid w:val="00C81C3F"/>
    <w:rsid w:val="00C81E90"/>
    <w:rsid w:val="00C86EDB"/>
    <w:rsid w:val="00C870BA"/>
    <w:rsid w:val="00C87672"/>
    <w:rsid w:val="00C87B4D"/>
    <w:rsid w:val="00C90B97"/>
    <w:rsid w:val="00C9255F"/>
    <w:rsid w:val="00C9387A"/>
    <w:rsid w:val="00C93917"/>
    <w:rsid w:val="00C93C29"/>
    <w:rsid w:val="00CA1923"/>
    <w:rsid w:val="00CA3CA8"/>
    <w:rsid w:val="00CA57BD"/>
    <w:rsid w:val="00CA6A5B"/>
    <w:rsid w:val="00CA712F"/>
    <w:rsid w:val="00CB097A"/>
    <w:rsid w:val="00CB1935"/>
    <w:rsid w:val="00CB341C"/>
    <w:rsid w:val="00CB3F82"/>
    <w:rsid w:val="00CB5015"/>
    <w:rsid w:val="00CB6E76"/>
    <w:rsid w:val="00CC2325"/>
    <w:rsid w:val="00CC34D4"/>
    <w:rsid w:val="00CC4657"/>
    <w:rsid w:val="00CC5886"/>
    <w:rsid w:val="00CD2086"/>
    <w:rsid w:val="00CD379A"/>
    <w:rsid w:val="00CD452A"/>
    <w:rsid w:val="00CD5066"/>
    <w:rsid w:val="00CD744B"/>
    <w:rsid w:val="00CD75AE"/>
    <w:rsid w:val="00CE0792"/>
    <w:rsid w:val="00CE0CED"/>
    <w:rsid w:val="00CE13D7"/>
    <w:rsid w:val="00CE2A26"/>
    <w:rsid w:val="00CE4478"/>
    <w:rsid w:val="00CE57E7"/>
    <w:rsid w:val="00CE6907"/>
    <w:rsid w:val="00CE78E8"/>
    <w:rsid w:val="00CF2AEA"/>
    <w:rsid w:val="00CF339E"/>
    <w:rsid w:val="00CF727C"/>
    <w:rsid w:val="00D003F5"/>
    <w:rsid w:val="00D00946"/>
    <w:rsid w:val="00D03D31"/>
    <w:rsid w:val="00D06899"/>
    <w:rsid w:val="00D1191C"/>
    <w:rsid w:val="00D13278"/>
    <w:rsid w:val="00D17F2F"/>
    <w:rsid w:val="00D246D1"/>
    <w:rsid w:val="00D3352B"/>
    <w:rsid w:val="00D401D1"/>
    <w:rsid w:val="00D41BF1"/>
    <w:rsid w:val="00D41F26"/>
    <w:rsid w:val="00D430E2"/>
    <w:rsid w:val="00D43C88"/>
    <w:rsid w:val="00D44576"/>
    <w:rsid w:val="00D5055D"/>
    <w:rsid w:val="00D51A01"/>
    <w:rsid w:val="00D52D15"/>
    <w:rsid w:val="00D533BF"/>
    <w:rsid w:val="00D55387"/>
    <w:rsid w:val="00D5610E"/>
    <w:rsid w:val="00D565D2"/>
    <w:rsid w:val="00D56A78"/>
    <w:rsid w:val="00D60D27"/>
    <w:rsid w:val="00D6148D"/>
    <w:rsid w:val="00D6600A"/>
    <w:rsid w:val="00D71003"/>
    <w:rsid w:val="00D73206"/>
    <w:rsid w:val="00D75B0C"/>
    <w:rsid w:val="00D77D90"/>
    <w:rsid w:val="00D82E8F"/>
    <w:rsid w:val="00D8376D"/>
    <w:rsid w:val="00D83E42"/>
    <w:rsid w:val="00D8451B"/>
    <w:rsid w:val="00D84F40"/>
    <w:rsid w:val="00D85CF6"/>
    <w:rsid w:val="00D86968"/>
    <w:rsid w:val="00D907F9"/>
    <w:rsid w:val="00D91039"/>
    <w:rsid w:val="00D913D5"/>
    <w:rsid w:val="00D91618"/>
    <w:rsid w:val="00D92C7F"/>
    <w:rsid w:val="00D974EE"/>
    <w:rsid w:val="00D97542"/>
    <w:rsid w:val="00DA0D01"/>
    <w:rsid w:val="00DA15BE"/>
    <w:rsid w:val="00DA1DBE"/>
    <w:rsid w:val="00DA1E8E"/>
    <w:rsid w:val="00DA27F0"/>
    <w:rsid w:val="00DA68DF"/>
    <w:rsid w:val="00DA6E3D"/>
    <w:rsid w:val="00DA75E8"/>
    <w:rsid w:val="00DB271E"/>
    <w:rsid w:val="00DB4CAF"/>
    <w:rsid w:val="00DB6014"/>
    <w:rsid w:val="00DB77D6"/>
    <w:rsid w:val="00DC05D2"/>
    <w:rsid w:val="00DC14DB"/>
    <w:rsid w:val="00DC2714"/>
    <w:rsid w:val="00DC2F83"/>
    <w:rsid w:val="00DC3018"/>
    <w:rsid w:val="00DC4A45"/>
    <w:rsid w:val="00DD161C"/>
    <w:rsid w:val="00DD231C"/>
    <w:rsid w:val="00DD37BA"/>
    <w:rsid w:val="00DD4A4B"/>
    <w:rsid w:val="00DD5466"/>
    <w:rsid w:val="00DD66F4"/>
    <w:rsid w:val="00DE09BB"/>
    <w:rsid w:val="00DE12B5"/>
    <w:rsid w:val="00DE2D84"/>
    <w:rsid w:val="00DE2EBD"/>
    <w:rsid w:val="00DE38F5"/>
    <w:rsid w:val="00DE712F"/>
    <w:rsid w:val="00DE73AB"/>
    <w:rsid w:val="00DF18BD"/>
    <w:rsid w:val="00DF3304"/>
    <w:rsid w:val="00DF3EF5"/>
    <w:rsid w:val="00DF46C8"/>
    <w:rsid w:val="00DF5674"/>
    <w:rsid w:val="00DF6E85"/>
    <w:rsid w:val="00DF7A07"/>
    <w:rsid w:val="00E027DB"/>
    <w:rsid w:val="00E062B7"/>
    <w:rsid w:val="00E06815"/>
    <w:rsid w:val="00E0765A"/>
    <w:rsid w:val="00E11DA8"/>
    <w:rsid w:val="00E12918"/>
    <w:rsid w:val="00E12D1F"/>
    <w:rsid w:val="00E14B7C"/>
    <w:rsid w:val="00E15B4D"/>
    <w:rsid w:val="00E15D9F"/>
    <w:rsid w:val="00E16D7D"/>
    <w:rsid w:val="00E16FB3"/>
    <w:rsid w:val="00E20D66"/>
    <w:rsid w:val="00E2271F"/>
    <w:rsid w:val="00E22DDA"/>
    <w:rsid w:val="00E26363"/>
    <w:rsid w:val="00E2693F"/>
    <w:rsid w:val="00E26A29"/>
    <w:rsid w:val="00E273CC"/>
    <w:rsid w:val="00E33C2E"/>
    <w:rsid w:val="00E36096"/>
    <w:rsid w:val="00E36D9F"/>
    <w:rsid w:val="00E41C3F"/>
    <w:rsid w:val="00E426E2"/>
    <w:rsid w:val="00E44878"/>
    <w:rsid w:val="00E506E6"/>
    <w:rsid w:val="00E512AE"/>
    <w:rsid w:val="00E51C83"/>
    <w:rsid w:val="00E52AFA"/>
    <w:rsid w:val="00E55390"/>
    <w:rsid w:val="00E55561"/>
    <w:rsid w:val="00E55F3F"/>
    <w:rsid w:val="00E61074"/>
    <w:rsid w:val="00E6120F"/>
    <w:rsid w:val="00E61F19"/>
    <w:rsid w:val="00E63D23"/>
    <w:rsid w:val="00E648C6"/>
    <w:rsid w:val="00E7072B"/>
    <w:rsid w:val="00E729B4"/>
    <w:rsid w:val="00E72B5E"/>
    <w:rsid w:val="00E74C5B"/>
    <w:rsid w:val="00E75AC2"/>
    <w:rsid w:val="00E77D91"/>
    <w:rsid w:val="00E8143F"/>
    <w:rsid w:val="00E819B6"/>
    <w:rsid w:val="00E8666A"/>
    <w:rsid w:val="00E87092"/>
    <w:rsid w:val="00E8735A"/>
    <w:rsid w:val="00E8744F"/>
    <w:rsid w:val="00E91CD8"/>
    <w:rsid w:val="00E923DF"/>
    <w:rsid w:val="00E92725"/>
    <w:rsid w:val="00E930D9"/>
    <w:rsid w:val="00E948B1"/>
    <w:rsid w:val="00E96FC5"/>
    <w:rsid w:val="00EA21D2"/>
    <w:rsid w:val="00EA2C67"/>
    <w:rsid w:val="00EA2FFF"/>
    <w:rsid w:val="00EA4A94"/>
    <w:rsid w:val="00EA5765"/>
    <w:rsid w:val="00EA5FE1"/>
    <w:rsid w:val="00EB06C5"/>
    <w:rsid w:val="00EB3505"/>
    <w:rsid w:val="00EB3E47"/>
    <w:rsid w:val="00EC0BD0"/>
    <w:rsid w:val="00EC22A3"/>
    <w:rsid w:val="00EC24A3"/>
    <w:rsid w:val="00EC3250"/>
    <w:rsid w:val="00EC5761"/>
    <w:rsid w:val="00ED02E0"/>
    <w:rsid w:val="00ED0E26"/>
    <w:rsid w:val="00ED1763"/>
    <w:rsid w:val="00ED1BA6"/>
    <w:rsid w:val="00ED2CD0"/>
    <w:rsid w:val="00ED54A9"/>
    <w:rsid w:val="00ED6988"/>
    <w:rsid w:val="00ED78C0"/>
    <w:rsid w:val="00EE005F"/>
    <w:rsid w:val="00EE2561"/>
    <w:rsid w:val="00EE3F8E"/>
    <w:rsid w:val="00EE4654"/>
    <w:rsid w:val="00EE56E4"/>
    <w:rsid w:val="00EE5BAC"/>
    <w:rsid w:val="00EE6829"/>
    <w:rsid w:val="00EF0414"/>
    <w:rsid w:val="00EF62DB"/>
    <w:rsid w:val="00F0030A"/>
    <w:rsid w:val="00F0288C"/>
    <w:rsid w:val="00F07AE1"/>
    <w:rsid w:val="00F116F8"/>
    <w:rsid w:val="00F11814"/>
    <w:rsid w:val="00F120CD"/>
    <w:rsid w:val="00F12579"/>
    <w:rsid w:val="00F160EE"/>
    <w:rsid w:val="00F1696A"/>
    <w:rsid w:val="00F17262"/>
    <w:rsid w:val="00F17577"/>
    <w:rsid w:val="00F210C8"/>
    <w:rsid w:val="00F21E5C"/>
    <w:rsid w:val="00F22C62"/>
    <w:rsid w:val="00F2396E"/>
    <w:rsid w:val="00F241B1"/>
    <w:rsid w:val="00F275AE"/>
    <w:rsid w:val="00F30B68"/>
    <w:rsid w:val="00F32360"/>
    <w:rsid w:val="00F3354C"/>
    <w:rsid w:val="00F34149"/>
    <w:rsid w:val="00F341F6"/>
    <w:rsid w:val="00F43CCC"/>
    <w:rsid w:val="00F43DF8"/>
    <w:rsid w:val="00F43F27"/>
    <w:rsid w:val="00F44B57"/>
    <w:rsid w:val="00F5364A"/>
    <w:rsid w:val="00F537C4"/>
    <w:rsid w:val="00F53A22"/>
    <w:rsid w:val="00F57E5D"/>
    <w:rsid w:val="00F57F73"/>
    <w:rsid w:val="00F65018"/>
    <w:rsid w:val="00F67755"/>
    <w:rsid w:val="00F67E1E"/>
    <w:rsid w:val="00F7078A"/>
    <w:rsid w:val="00F7271F"/>
    <w:rsid w:val="00F76D0B"/>
    <w:rsid w:val="00F851BA"/>
    <w:rsid w:val="00F859E5"/>
    <w:rsid w:val="00F867DE"/>
    <w:rsid w:val="00F87612"/>
    <w:rsid w:val="00F87FD0"/>
    <w:rsid w:val="00F90952"/>
    <w:rsid w:val="00F9126A"/>
    <w:rsid w:val="00F92BCC"/>
    <w:rsid w:val="00F932C2"/>
    <w:rsid w:val="00F9416D"/>
    <w:rsid w:val="00F94A38"/>
    <w:rsid w:val="00F957BE"/>
    <w:rsid w:val="00F9753B"/>
    <w:rsid w:val="00FA0C52"/>
    <w:rsid w:val="00FA5855"/>
    <w:rsid w:val="00FA5BD4"/>
    <w:rsid w:val="00FA5ED1"/>
    <w:rsid w:val="00FA660B"/>
    <w:rsid w:val="00FB1104"/>
    <w:rsid w:val="00FB2C8C"/>
    <w:rsid w:val="00FB3ADF"/>
    <w:rsid w:val="00FB3F66"/>
    <w:rsid w:val="00FB7CDC"/>
    <w:rsid w:val="00FC2EC5"/>
    <w:rsid w:val="00FC58E4"/>
    <w:rsid w:val="00FC6120"/>
    <w:rsid w:val="00FC624F"/>
    <w:rsid w:val="00FC64E1"/>
    <w:rsid w:val="00FC7B8B"/>
    <w:rsid w:val="00FD44BD"/>
    <w:rsid w:val="00FD5FFB"/>
    <w:rsid w:val="00FD6CF5"/>
    <w:rsid w:val="00FD7B0B"/>
    <w:rsid w:val="00FE7C7B"/>
    <w:rsid w:val="00FF5316"/>
    <w:rsid w:val="00FF5447"/>
    <w:rsid w:val="00FF61B1"/>
    <w:rsid w:val="00FF6337"/>
    <w:rsid w:val="00FF6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40B8"/>
  <w15:chartTrackingRefBased/>
  <w15:docId w15:val="{252635F0-89D7-4D99-A8AA-54EE2AE7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390"/>
    <w:pPr>
      <w:ind w:left="720"/>
      <w:contextualSpacing/>
    </w:pPr>
  </w:style>
  <w:style w:type="paragraph" w:styleId="Header">
    <w:name w:val="header"/>
    <w:basedOn w:val="Normal"/>
    <w:link w:val="HeaderChar"/>
    <w:uiPriority w:val="99"/>
    <w:unhideWhenUsed/>
    <w:rsid w:val="00D50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55D"/>
  </w:style>
  <w:style w:type="paragraph" w:styleId="Footer">
    <w:name w:val="footer"/>
    <w:basedOn w:val="Normal"/>
    <w:link w:val="FooterChar"/>
    <w:uiPriority w:val="99"/>
    <w:unhideWhenUsed/>
    <w:rsid w:val="00D50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55D"/>
  </w:style>
  <w:style w:type="paragraph" w:styleId="BalloonText">
    <w:name w:val="Balloon Text"/>
    <w:basedOn w:val="Normal"/>
    <w:link w:val="BalloonTextChar"/>
    <w:uiPriority w:val="99"/>
    <w:semiHidden/>
    <w:unhideWhenUsed/>
    <w:rsid w:val="000D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45"/>
    <w:rPr>
      <w:rFonts w:ascii="Segoe UI" w:hAnsi="Segoe UI" w:cs="Segoe UI"/>
      <w:sz w:val="18"/>
      <w:szCs w:val="18"/>
    </w:rPr>
  </w:style>
  <w:style w:type="table" w:customStyle="1" w:styleId="TableGrid1">
    <w:name w:val="Table Grid1"/>
    <w:basedOn w:val="TableNormal"/>
    <w:next w:val="TableGrid"/>
    <w:uiPriority w:val="39"/>
    <w:rsid w:val="00431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7E7"/>
    <w:pPr>
      <w:spacing w:before="100" w:beforeAutospacing="1" w:after="100" w:afterAutospacing="1" w:line="240" w:lineRule="auto"/>
    </w:pPr>
    <w:rPr>
      <w:rFonts w:ascii="Gulim" w:eastAsia="Gulim" w:hAnsi="Gulim" w:cs="Gulim"/>
      <w:sz w:val="24"/>
      <w:szCs w:val="24"/>
      <w:lang w:eastAsia="ko-KR"/>
    </w:rPr>
  </w:style>
  <w:style w:type="character" w:styleId="CommentReference">
    <w:name w:val="annotation reference"/>
    <w:basedOn w:val="DefaultParagraphFont"/>
    <w:uiPriority w:val="99"/>
    <w:semiHidden/>
    <w:unhideWhenUsed/>
    <w:rsid w:val="00DF3EF5"/>
    <w:rPr>
      <w:sz w:val="16"/>
      <w:szCs w:val="16"/>
    </w:rPr>
  </w:style>
  <w:style w:type="paragraph" w:styleId="CommentText">
    <w:name w:val="annotation text"/>
    <w:basedOn w:val="Normal"/>
    <w:link w:val="CommentTextChar"/>
    <w:uiPriority w:val="99"/>
    <w:unhideWhenUsed/>
    <w:rsid w:val="00DF3EF5"/>
    <w:pPr>
      <w:spacing w:line="240" w:lineRule="auto"/>
    </w:pPr>
    <w:rPr>
      <w:sz w:val="20"/>
      <w:szCs w:val="20"/>
    </w:rPr>
  </w:style>
  <w:style w:type="character" w:customStyle="1" w:styleId="CommentTextChar">
    <w:name w:val="Comment Text Char"/>
    <w:basedOn w:val="DefaultParagraphFont"/>
    <w:link w:val="CommentText"/>
    <w:uiPriority w:val="99"/>
    <w:rsid w:val="00DF3EF5"/>
    <w:rPr>
      <w:sz w:val="20"/>
      <w:szCs w:val="20"/>
    </w:rPr>
  </w:style>
  <w:style w:type="paragraph" w:styleId="CommentSubject">
    <w:name w:val="annotation subject"/>
    <w:basedOn w:val="CommentText"/>
    <w:next w:val="CommentText"/>
    <w:link w:val="CommentSubjectChar"/>
    <w:uiPriority w:val="99"/>
    <w:semiHidden/>
    <w:unhideWhenUsed/>
    <w:rsid w:val="00DF3EF5"/>
    <w:rPr>
      <w:b/>
      <w:bCs/>
    </w:rPr>
  </w:style>
  <w:style w:type="character" w:customStyle="1" w:styleId="CommentSubjectChar">
    <w:name w:val="Comment Subject Char"/>
    <w:basedOn w:val="CommentTextChar"/>
    <w:link w:val="CommentSubject"/>
    <w:uiPriority w:val="99"/>
    <w:semiHidden/>
    <w:rsid w:val="00DF3EF5"/>
    <w:rPr>
      <w:b/>
      <w:bCs/>
      <w:sz w:val="20"/>
      <w:szCs w:val="20"/>
    </w:rPr>
  </w:style>
  <w:style w:type="paragraph" w:styleId="Revision">
    <w:name w:val="Revision"/>
    <w:hidden/>
    <w:uiPriority w:val="99"/>
    <w:semiHidden/>
    <w:rsid w:val="00E6120F"/>
    <w:pPr>
      <w:spacing w:after="0" w:line="240" w:lineRule="auto"/>
    </w:pPr>
  </w:style>
  <w:style w:type="paragraph" w:customStyle="1" w:styleId="xmsonormal">
    <w:name w:val="x_msonormal"/>
    <w:basedOn w:val="Normal"/>
    <w:rsid w:val="00E076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95">
      <w:bodyDiv w:val="1"/>
      <w:marLeft w:val="0"/>
      <w:marRight w:val="0"/>
      <w:marTop w:val="0"/>
      <w:marBottom w:val="0"/>
      <w:divBdr>
        <w:top w:val="none" w:sz="0" w:space="0" w:color="auto"/>
        <w:left w:val="none" w:sz="0" w:space="0" w:color="auto"/>
        <w:bottom w:val="none" w:sz="0" w:space="0" w:color="auto"/>
        <w:right w:val="none" w:sz="0" w:space="0" w:color="auto"/>
      </w:divBdr>
    </w:div>
    <w:div w:id="18970905">
      <w:bodyDiv w:val="1"/>
      <w:marLeft w:val="0"/>
      <w:marRight w:val="0"/>
      <w:marTop w:val="0"/>
      <w:marBottom w:val="0"/>
      <w:divBdr>
        <w:top w:val="none" w:sz="0" w:space="0" w:color="auto"/>
        <w:left w:val="none" w:sz="0" w:space="0" w:color="auto"/>
        <w:bottom w:val="none" w:sz="0" w:space="0" w:color="auto"/>
        <w:right w:val="none" w:sz="0" w:space="0" w:color="auto"/>
      </w:divBdr>
    </w:div>
    <w:div w:id="19472373">
      <w:bodyDiv w:val="1"/>
      <w:marLeft w:val="0"/>
      <w:marRight w:val="0"/>
      <w:marTop w:val="0"/>
      <w:marBottom w:val="0"/>
      <w:divBdr>
        <w:top w:val="none" w:sz="0" w:space="0" w:color="auto"/>
        <w:left w:val="none" w:sz="0" w:space="0" w:color="auto"/>
        <w:bottom w:val="none" w:sz="0" w:space="0" w:color="auto"/>
        <w:right w:val="none" w:sz="0" w:space="0" w:color="auto"/>
      </w:divBdr>
    </w:div>
    <w:div w:id="44990306">
      <w:bodyDiv w:val="1"/>
      <w:marLeft w:val="0"/>
      <w:marRight w:val="0"/>
      <w:marTop w:val="0"/>
      <w:marBottom w:val="0"/>
      <w:divBdr>
        <w:top w:val="none" w:sz="0" w:space="0" w:color="auto"/>
        <w:left w:val="none" w:sz="0" w:space="0" w:color="auto"/>
        <w:bottom w:val="none" w:sz="0" w:space="0" w:color="auto"/>
        <w:right w:val="none" w:sz="0" w:space="0" w:color="auto"/>
      </w:divBdr>
    </w:div>
    <w:div w:id="89132887">
      <w:bodyDiv w:val="1"/>
      <w:marLeft w:val="0"/>
      <w:marRight w:val="0"/>
      <w:marTop w:val="0"/>
      <w:marBottom w:val="0"/>
      <w:divBdr>
        <w:top w:val="none" w:sz="0" w:space="0" w:color="auto"/>
        <w:left w:val="none" w:sz="0" w:space="0" w:color="auto"/>
        <w:bottom w:val="none" w:sz="0" w:space="0" w:color="auto"/>
        <w:right w:val="none" w:sz="0" w:space="0" w:color="auto"/>
      </w:divBdr>
    </w:div>
    <w:div w:id="94594013">
      <w:bodyDiv w:val="1"/>
      <w:marLeft w:val="0"/>
      <w:marRight w:val="0"/>
      <w:marTop w:val="0"/>
      <w:marBottom w:val="0"/>
      <w:divBdr>
        <w:top w:val="none" w:sz="0" w:space="0" w:color="auto"/>
        <w:left w:val="none" w:sz="0" w:space="0" w:color="auto"/>
        <w:bottom w:val="none" w:sz="0" w:space="0" w:color="auto"/>
        <w:right w:val="none" w:sz="0" w:space="0" w:color="auto"/>
      </w:divBdr>
    </w:div>
    <w:div w:id="112676886">
      <w:bodyDiv w:val="1"/>
      <w:marLeft w:val="0"/>
      <w:marRight w:val="0"/>
      <w:marTop w:val="0"/>
      <w:marBottom w:val="0"/>
      <w:divBdr>
        <w:top w:val="none" w:sz="0" w:space="0" w:color="auto"/>
        <w:left w:val="none" w:sz="0" w:space="0" w:color="auto"/>
        <w:bottom w:val="none" w:sz="0" w:space="0" w:color="auto"/>
        <w:right w:val="none" w:sz="0" w:space="0" w:color="auto"/>
      </w:divBdr>
    </w:div>
    <w:div w:id="129174199">
      <w:bodyDiv w:val="1"/>
      <w:marLeft w:val="0"/>
      <w:marRight w:val="0"/>
      <w:marTop w:val="0"/>
      <w:marBottom w:val="0"/>
      <w:divBdr>
        <w:top w:val="none" w:sz="0" w:space="0" w:color="auto"/>
        <w:left w:val="none" w:sz="0" w:space="0" w:color="auto"/>
        <w:bottom w:val="none" w:sz="0" w:space="0" w:color="auto"/>
        <w:right w:val="none" w:sz="0" w:space="0" w:color="auto"/>
      </w:divBdr>
    </w:div>
    <w:div w:id="254946736">
      <w:bodyDiv w:val="1"/>
      <w:marLeft w:val="0"/>
      <w:marRight w:val="0"/>
      <w:marTop w:val="0"/>
      <w:marBottom w:val="0"/>
      <w:divBdr>
        <w:top w:val="none" w:sz="0" w:space="0" w:color="auto"/>
        <w:left w:val="none" w:sz="0" w:space="0" w:color="auto"/>
        <w:bottom w:val="none" w:sz="0" w:space="0" w:color="auto"/>
        <w:right w:val="none" w:sz="0" w:space="0" w:color="auto"/>
      </w:divBdr>
    </w:div>
    <w:div w:id="331758451">
      <w:bodyDiv w:val="1"/>
      <w:marLeft w:val="0"/>
      <w:marRight w:val="0"/>
      <w:marTop w:val="0"/>
      <w:marBottom w:val="0"/>
      <w:divBdr>
        <w:top w:val="none" w:sz="0" w:space="0" w:color="auto"/>
        <w:left w:val="none" w:sz="0" w:space="0" w:color="auto"/>
        <w:bottom w:val="none" w:sz="0" w:space="0" w:color="auto"/>
        <w:right w:val="none" w:sz="0" w:space="0" w:color="auto"/>
      </w:divBdr>
    </w:div>
    <w:div w:id="335112527">
      <w:bodyDiv w:val="1"/>
      <w:marLeft w:val="0"/>
      <w:marRight w:val="0"/>
      <w:marTop w:val="0"/>
      <w:marBottom w:val="0"/>
      <w:divBdr>
        <w:top w:val="none" w:sz="0" w:space="0" w:color="auto"/>
        <w:left w:val="none" w:sz="0" w:space="0" w:color="auto"/>
        <w:bottom w:val="none" w:sz="0" w:space="0" w:color="auto"/>
        <w:right w:val="none" w:sz="0" w:space="0" w:color="auto"/>
      </w:divBdr>
    </w:div>
    <w:div w:id="354116052">
      <w:bodyDiv w:val="1"/>
      <w:marLeft w:val="0"/>
      <w:marRight w:val="0"/>
      <w:marTop w:val="0"/>
      <w:marBottom w:val="0"/>
      <w:divBdr>
        <w:top w:val="none" w:sz="0" w:space="0" w:color="auto"/>
        <w:left w:val="none" w:sz="0" w:space="0" w:color="auto"/>
        <w:bottom w:val="none" w:sz="0" w:space="0" w:color="auto"/>
        <w:right w:val="none" w:sz="0" w:space="0" w:color="auto"/>
      </w:divBdr>
    </w:div>
    <w:div w:id="382367535">
      <w:bodyDiv w:val="1"/>
      <w:marLeft w:val="0"/>
      <w:marRight w:val="0"/>
      <w:marTop w:val="0"/>
      <w:marBottom w:val="0"/>
      <w:divBdr>
        <w:top w:val="none" w:sz="0" w:space="0" w:color="auto"/>
        <w:left w:val="none" w:sz="0" w:space="0" w:color="auto"/>
        <w:bottom w:val="none" w:sz="0" w:space="0" w:color="auto"/>
        <w:right w:val="none" w:sz="0" w:space="0" w:color="auto"/>
      </w:divBdr>
    </w:div>
    <w:div w:id="424302508">
      <w:bodyDiv w:val="1"/>
      <w:marLeft w:val="0"/>
      <w:marRight w:val="0"/>
      <w:marTop w:val="0"/>
      <w:marBottom w:val="0"/>
      <w:divBdr>
        <w:top w:val="none" w:sz="0" w:space="0" w:color="auto"/>
        <w:left w:val="none" w:sz="0" w:space="0" w:color="auto"/>
        <w:bottom w:val="none" w:sz="0" w:space="0" w:color="auto"/>
        <w:right w:val="none" w:sz="0" w:space="0" w:color="auto"/>
      </w:divBdr>
    </w:div>
    <w:div w:id="466821144">
      <w:bodyDiv w:val="1"/>
      <w:marLeft w:val="0"/>
      <w:marRight w:val="0"/>
      <w:marTop w:val="0"/>
      <w:marBottom w:val="0"/>
      <w:divBdr>
        <w:top w:val="none" w:sz="0" w:space="0" w:color="auto"/>
        <w:left w:val="none" w:sz="0" w:space="0" w:color="auto"/>
        <w:bottom w:val="none" w:sz="0" w:space="0" w:color="auto"/>
        <w:right w:val="none" w:sz="0" w:space="0" w:color="auto"/>
      </w:divBdr>
    </w:div>
    <w:div w:id="496844008">
      <w:bodyDiv w:val="1"/>
      <w:marLeft w:val="0"/>
      <w:marRight w:val="0"/>
      <w:marTop w:val="0"/>
      <w:marBottom w:val="0"/>
      <w:divBdr>
        <w:top w:val="none" w:sz="0" w:space="0" w:color="auto"/>
        <w:left w:val="none" w:sz="0" w:space="0" w:color="auto"/>
        <w:bottom w:val="none" w:sz="0" w:space="0" w:color="auto"/>
        <w:right w:val="none" w:sz="0" w:space="0" w:color="auto"/>
      </w:divBdr>
    </w:div>
    <w:div w:id="547113627">
      <w:bodyDiv w:val="1"/>
      <w:marLeft w:val="0"/>
      <w:marRight w:val="0"/>
      <w:marTop w:val="0"/>
      <w:marBottom w:val="0"/>
      <w:divBdr>
        <w:top w:val="none" w:sz="0" w:space="0" w:color="auto"/>
        <w:left w:val="none" w:sz="0" w:space="0" w:color="auto"/>
        <w:bottom w:val="none" w:sz="0" w:space="0" w:color="auto"/>
        <w:right w:val="none" w:sz="0" w:space="0" w:color="auto"/>
      </w:divBdr>
    </w:div>
    <w:div w:id="555245318">
      <w:bodyDiv w:val="1"/>
      <w:marLeft w:val="0"/>
      <w:marRight w:val="0"/>
      <w:marTop w:val="0"/>
      <w:marBottom w:val="0"/>
      <w:divBdr>
        <w:top w:val="none" w:sz="0" w:space="0" w:color="auto"/>
        <w:left w:val="none" w:sz="0" w:space="0" w:color="auto"/>
        <w:bottom w:val="none" w:sz="0" w:space="0" w:color="auto"/>
        <w:right w:val="none" w:sz="0" w:space="0" w:color="auto"/>
      </w:divBdr>
    </w:div>
    <w:div w:id="639920984">
      <w:bodyDiv w:val="1"/>
      <w:marLeft w:val="0"/>
      <w:marRight w:val="0"/>
      <w:marTop w:val="0"/>
      <w:marBottom w:val="0"/>
      <w:divBdr>
        <w:top w:val="none" w:sz="0" w:space="0" w:color="auto"/>
        <w:left w:val="none" w:sz="0" w:space="0" w:color="auto"/>
        <w:bottom w:val="none" w:sz="0" w:space="0" w:color="auto"/>
        <w:right w:val="none" w:sz="0" w:space="0" w:color="auto"/>
      </w:divBdr>
    </w:div>
    <w:div w:id="670330031">
      <w:bodyDiv w:val="1"/>
      <w:marLeft w:val="0"/>
      <w:marRight w:val="0"/>
      <w:marTop w:val="0"/>
      <w:marBottom w:val="0"/>
      <w:divBdr>
        <w:top w:val="none" w:sz="0" w:space="0" w:color="auto"/>
        <w:left w:val="none" w:sz="0" w:space="0" w:color="auto"/>
        <w:bottom w:val="none" w:sz="0" w:space="0" w:color="auto"/>
        <w:right w:val="none" w:sz="0" w:space="0" w:color="auto"/>
      </w:divBdr>
    </w:div>
    <w:div w:id="680743824">
      <w:bodyDiv w:val="1"/>
      <w:marLeft w:val="0"/>
      <w:marRight w:val="0"/>
      <w:marTop w:val="0"/>
      <w:marBottom w:val="0"/>
      <w:divBdr>
        <w:top w:val="none" w:sz="0" w:space="0" w:color="auto"/>
        <w:left w:val="none" w:sz="0" w:space="0" w:color="auto"/>
        <w:bottom w:val="none" w:sz="0" w:space="0" w:color="auto"/>
        <w:right w:val="none" w:sz="0" w:space="0" w:color="auto"/>
      </w:divBdr>
    </w:div>
    <w:div w:id="751924974">
      <w:bodyDiv w:val="1"/>
      <w:marLeft w:val="0"/>
      <w:marRight w:val="0"/>
      <w:marTop w:val="0"/>
      <w:marBottom w:val="0"/>
      <w:divBdr>
        <w:top w:val="none" w:sz="0" w:space="0" w:color="auto"/>
        <w:left w:val="none" w:sz="0" w:space="0" w:color="auto"/>
        <w:bottom w:val="none" w:sz="0" w:space="0" w:color="auto"/>
        <w:right w:val="none" w:sz="0" w:space="0" w:color="auto"/>
      </w:divBdr>
    </w:div>
    <w:div w:id="806969530">
      <w:bodyDiv w:val="1"/>
      <w:marLeft w:val="0"/>
      <w:marRight w:val="0"/>
      <w:marTop w:val="0"/>
      <w:marBottom w:val="0"/>
      <w:divBdr>
        <w:top w:val="none" w:sz="0" w:space="0" w:color="auto"/>
        <w:left w:val="none" w:sz="0" w:space="0" w:color="auto"/>
        <w:bottom w:val="none" w:sz="0" w:space="0" w:color="auto"/>
        <w:right w:val="none" w:sz="0" w:space="0" w:color="auto"/>
      </w:divBdr>
    </w:div>
    <w:div w:id="827209098">
      <w:bodyDiv w:val="1"/>
      <w:marLeft w:val="0"/>
      <w:marRight w:val="0"/>
      <w:marTop w:val="0"/>
      <w:marBottom w:val="0"/>
      <w:divBdr>
        <w:top w:val="none" w:sz="0" w:space="0" w:color="auto"/>
        <w:left w:val="none" w:sz="0" w:space="0" w:color="auto"/>
        <w:bottom w:val="none" w:sz="0" w:space="0" w:color="auto"/>
        <w:right w:val="none" w:sz="0" w:space="0" w:color="auto"/>
      </w:divBdr>
    </w:div>
    <w:div w:id="849568723">
      <w:bodyDiv w:val="1"/>
      <w:marLeft w:val="0"/>
      <w:marRight w:val="0"/>
      <w:marTop w:val="0"/>
      <w:marBottom w:val="0"/>
      <w:divBdr>
        <w:top w:val="none" w:sz="0" w:space="0" w:color="auto"/>
        <w:left w:val="none" w:sz="0" w:space="0" w:color="auto"/>
        <w:bottom w:val="none" w:sz="0" w:space="0" w:color="auto"/>
        <w:right w:val="none" w:sz="0" w:space="0" w:color="auto"/>
      </w:divBdr>
    </w:div>
    <w:div w:id="1040126951">
      <w:bodyDiv w:val="1"/>
      <w:marLeft w:val="0"/>
      <w:marRight w:val="0"/>
      <w:marTop w:val="0"/>
      <w:marBottom w:val="0"/>
      <w:divBdr>
        <w:top w:val="none" w:sz="0" w:space="0" w:color="auto"/>
        <w:left w:val="none" w:sz="0" w:space="0" w:color="auto"/>
        <w:bottom w:val="none" w:sz="0" w:space="0" w:color="auto"/>
        <w:right w:val="none" w:sz="0" w:space="0" w:color="auto"/>
      </w:divBdr>
    </w:div>
    <w:div w:id="1053115660">
      <w:bodyDiv w:val="1"/>
      <w:marLeft w:val="0"/>
      <w:marRight w:val="0"/>
      <w:marTop w:val="0"/>
      <w:marBottom w:val="0"/>
      <w:divBdr>
        <w:top w:val="none" w:sz="0" w:space="0" w:color="auto"/>
        <w:left w:val="none" w:sz="0" w:space="0" w:color="auto"/>
        <w:bottom w:val="none" w:sz="0" w:space="0" w:color="auto"/>
        <w:right w:val="none" w:sz="0" w:space="0" w:color="auto"/>
      </w:divBdr>
    </w:div>
    <w:div w:id="1105731927">
      <w:bodyDiv w:val="1"/>
      <w:marLeft w:val="0"/>
      <w:marRight w:val="0"/>
      <w:marTop w:val="0"/>
      <w:marBottom w:val="0"/>
      <w:divBdr>
        <w:top w:val="none" w:sz="0" w:space="0" w:color="auto"/>
        <w:left w:val="none" w:sz="0" w:space="0" w:color="auto"/>
        <w:bottom w:val="none" w:sz="0" w:space="0" w:color="auto"/>
        <w:right w:val="none" w:sz="0" w:space="0" w:color="auto"/>
      </w:divBdr>
    </w:div>
    <w:div w:id="1145586235">
      <w:bodyDiv w:val="1"/>
      <w:marLeft w:val="0"/>
      <w:marRight w:val="0"/>
      <w:marTop w:val="0"/>
      <w:marBottom w:val="0"/>
      <w:divBdr>
        <w:top w:val="none" w:sz="0" w:space="0" w:color="auto"/>
        <w:left w:val="none" w:sz="0" w:space="0" w:color="auto"/>
        <w:bottom w:val="none" w:sz="0" w:space="0" w:color="auto"/>
        <w:right w:val="none" w:sz="0" w:space="0" w:color="auto"/>
      </w:divBdr>
    </w:div>
    <w:div w:id="1148670236">
      <w:bodyDiv w:val="1"/>
      <w:marLeft w:val="0"/>
      <w:marRight w:val="0"/>
      <w:marTop w:val="0"/>
      <w:marBottom w:val="0"/>
      <w:divBdr>
        <w:top w:val="none" w:sz="0" w:space="0" w:color="auto"/>
        <w:left w:val="none" w:sz="0" w:space="0" w:color="auto"/>
        <w:bottom w:val="none" w:sz="0" w:space="0" w:color="auto"/>
        <w:right w:val="none" w:sz="0" w:space="0" w:color="auto"/>
      </w:divBdr>
    </w:div>
    <w:div w:id="1176648529">
      <w:bodyDiv w:val="1"/>
      <w:marLeft w:val="0"/>
      <w:marRight w:val="0"/>
      <w:marTop w:val="0"/>
      <w:marBottom w:val="0"/>
      <w:divBdr>
        <w:top w:val="none" w:sz="0" w:space="0" w:color="auto"/>
        <w:left w:val="none" w:sz="0" w:space="0" w:color="auto"/>
        <w:bottom w:val="none" w:sz="0" w:space="0" w:color="auto"/>
        <w:right w:val="none" w:sz="0" w:space="0" w:color="auto"/>
      </w:divBdr>
    </w:div>
    <w:div w:id="1184319143">
      <w:bodyDiv w:val="1"/>
      <w:marLeft w:val="0"/>
      <w:marRight w:val="0"/>
      <w:marTop w:val="0"/>
      <w:marBottom w:val="0"/>
      <w:divBdr>
        <w:top w:val="none" w:sz="0" w:space="0" w:color="auto"/>
        <w:left w:val="none" w:sz="0" w:space="0" w:color="auto"/>
        <w:bottom w:val="none" w:sz="0" w:space="0" w:color="auto"/>
        <w:right w:val="none" w:sz="0" w:space="0" w:color="auto"/>
      </w:divBdr>
    </w:div>
    <w:div w:id="1206408524">
      <w:bodyDiv w:val="1"/>
      <w:marLeft w:val="0"/>
      <w:marRight w:val="0"/>
      <w:marTop w:val="0"/>
      <w:marBottom w:val="0"/>
      <w:divBdr>
        <w:top w:val="none" w:sz="0" w:space="0" w:color="auto"/>
        <w:left w:val="none" w:sz="0" w:space="0" w:color="auto"/>
        <w:bottom w:val="none" w:sz="0" w:space="0" w:color="auto"/>
        <w:right w:val="none" w:sz="0" w:space="0" w:color="auto"/>
      </w:divBdr>
    </w:div>
    <w:div w:id="1300067359">
      <w:bodyDiv w:val="1"/>
      <w:marLeft w:val="0"/>
      <w:marRight w:val="0"/>
      <w:marTop w:val="0"/>
      <w:marBottom w:val="0"/>
      <w:divBdr>
        <w:top w:val="none" w:sz="0" w:space="0" w:color="auto"/>
        <w:left w:val="none" w:sz="0" w:space="0" w:color="auto"/>
        <w:bottom w:val="none" w:sz="0" w:space="0" w:color="auto"/>
        <w:right w:val="none" w:sz="0" w:space="0" w:color="auto"/>
      </w:divBdr>
    </w:div>
    <w:div w:id="1314527810">
      <w:bodyDiv w:val="1"/>
      <w:marLeft w:val="0"/>
      <w:marRight w:val="0"/>
      <w:marTop w:val="0"/>
      <w:marBottom w:val="0"/>
      <w:divBdr>
        <w:top w:val="none" w:sz="0" w:space="0" w:color="auto"/>
        <w:left w:val="none" w:sz="0" w:space="0" w:color="auto"/>
        <w:bottom w:val="none" w:sz="0" w:space="0" w:color="auto"/>
        <w:right w:val="none" w:sz="0" w:space="0" w:color="auto"/>
      </w:divBdr>
    </w:div>
    <w:div w:id="1322076532">
      <w:bodyDiv w:val="1"/>
      <w:marLeft w:val="0"/>
      <w:marRight w:val="0"/>
      <w:marTop w:val="0"/>
      <w:marBottom w:val="0"/>
      <w:divBdr>
        <w:top w:val="none" w:sz="0" w:space="0" w:color="auto"/>
        <w:left w:val="none" w:sz="0" w:space="0" w:color="auto"/>
        <w:bottom w:val="none" w:sz="0" w:space="0" w:color="auto"/>
        <w:right w:val="none" w:sz="0" w:space="0" w:color="auto"/>
      </w:divBdr>
    </w:div>
    <w:div w:id="1335299681">
      <w:bodyDiv w:val="1"/>
      <w:marLeft w:val="0"/>
      <w:marRight w:val="0"/>
      <w:marTop w:val="0"/>
      <w:marBottom w:val="0"/>
      <w:divBdr>
        <w:top w:val="none" w:sz="0" w:space="0" w:color="auto"/>
        <w:left w:val="none" w:sz="0" w:space="0" w:color="auto"/>
        <w:bottom w:val="none" w:sz="0" w:space="0" w:color="auto"/>
        <w:right w:val="none" w:sz="0" w:space="0" w:color="auto"/>
      </w:divBdr>
    </w:div>
    <w:div w:id="1440179745">
      <w:bodyDiv w:val="1"/>
      <w:marLeft w:val="0"/>
      <w:marRight w:val="0"/>
      <w:marTop w:val="0"/>
      <w:marBottom w:val="0"/>
      <w:divBdr>
        <w:top w:val="none" w:sz="0" w:space="0" w:color="auto"/>
        <w:left w:val="none" w:sz="0" w:space="0" w:color="auto"/>
        <w:bottom w:val="none" w:sz="0" w:space="0" w:color="auto"/>
        <w:right w:val="none" w:sz="0" w:space="0" w:color="auto"/>
      </w:divBdr>
    </w:div>
    <w:div w:id="1452359233">
      <w:bodyDiv w:val="1"/>
      <w:marLeft w:val="0"/>
      <w:marRight w:val="0"/>
      <w:marTop w:val="0"/>
      <w:marBottom w:val="0"/>
      <w:divBdr>
        <w:top w:val="none" w:sz="0" w:space="0" w:color="auto"/>
        <w:left w:val="none" w:sz="0" w:space="0" w:color="auto"/>
        <w:bottom w:val="none" w:sz="0" w:space="0" w:color="auto"/>
        <w:right w:val="none" w:sz="0" w:space="0" w:color="auto"/>
      </w:divBdr>
    </w:div>
    <w:div w:id="1453866725">
      <w:bodyDiv w:val="1"/>
      <w:marLeft w:val="0"/>
      <w:marRight w:val="0"/>
      <w:marTop w:val="0"/>
      <w:marBottom w:val="0"/>
      <w:divBdr>
        <w:top w:val="none" w:sz="0" w:space="0" w:color="auto"/>
        <w:left w:val="none" w:sz="0" w:space="0" w:color="auto"/>
        <w:bottom w:val="none" w:sz="0" w:space="0" w:color="auto"/>
        <w:right w:val="none" w:sz="0" w:space="0" w:color="auto"/>
      </w:divBdr>
    </w:div>
    <w:div w:id="1455975671">
      <w:bodyDiv w:val="1"/>
      <w:marLeft w:val="0"/>
      <w:marRight w:val="0"/>
      <w:marTop w:val="0"/>
      <w:marBottom w:val="0"/>
      <w:divBdr>
        <w:top w:val="none" w:sz="0" w:space="0" w:color="auto"/>
        <w:left w:val="none" w:sz="0" w:space="0" w:color="auto"/>
        <w:bottom w:val="none" w:sz="0" w:space="0" w:color="auto"/>
        <w:right w:val="none" w:sz="0" w:space="0" w:color="auto"/>
      </w:divBdr>
    </w:div>
    <w:div w:id="1463769982">
      <w:bodyDiv w:val="1"/>
      <w:marLeft w:val="0"/>
      <w:marRight w:val="0"/>
      <w:marTop w:val="0"/>
      <w:marBottom w:val="0"/>
      <w:divBdr>
        <w:top w:val="none" w:sz="0" w:space="0" w:color="auto"/>
        <w:left w:val="none" w:sz="0" w:space="0" w:color="auto"/>
        <w:bottom w:val="none" w:sz="0" w:space="0" w:color="auto"/>
        <w:right w:val="none" w:sz="0" w:space="0" w:color="auto"/>
      </w:divBdr>
    </w:div>
    <w:div w:id="1506435383">
      <w:bodyDiv w:val="1"/>
      <w:marLeft w:val="0"/>
      <w:marRight w:val="0"/>
      <w:marTop w:val="0"/>
      <w:marBottom w:val="0"/>
      <w:divBdr>
        <w:top w:val="none" w:sz="0" w:space="0" w:color="auto"/>
        <w:left w:val="none" w:sz="0" w:space="0" w:color="auto"/>
        <w:bottom w:val="none" w:sz="0" w:space="0" w:color="auto"/>
        <w:right w:val="none" w:sz="0" w:space="0" w:color="auto"/>
      </w:divBdr>
    </w:div>
    <w:div w:id="1613970781">
      <w:bodyDiv w:val="1"/>
      <w:marLeft w:val="0"/>
      <w:marRight w:val="0"/>
      <w:marTop w:val="0"/>
      <w:marBottom w:val="0"/>
      <w:divBdr>
        <w:top w:val="none" w:sz="0" w:space="0" w:color="auto"/>
        <w:left w:val="none" w:sz="0" w:space="0" w:color="auto"/>
        <w:bottom w:val="none" w:sz="0" w:space="0" w:color="auto"/>
        <w:right w:val="none" w:sz="0" w:space="0" w:color="auto"/>
      </w:divBdr>
    </w:div>
    <w:div w:id="1680423251">
      <w:bodyDiv w:val="1"/>
      <w:marLeft w:val="0"/>
      <w:marRight w:val="0"/>
      <w:marTop w:val="0"/>
      <w:marBottom w:val="0"/>
      <w:divBdr>
        <w:top w:val="none" w:sz="0" w:space="0" w:color="auto"/>
        <w:left w:val="none" w:sz="0" w:space="0" w:color="auto"/>
        <w:bottom w:val="none" w:sz="0" w:space="0" w:color="auto"/>
        <w:right w:val="none" w:sz="0" w:space="0" w:color="auto"/>
      </w:divBdr>
    </w:div>
    <w:div w:id="1734083269">
      <w:bodyDiv w:val="1"/>
      <w:marLeft w:val="0"/>
      <w:marRight w:val="0"/>
      <w:marTop w:val="0"/>
      <w:marBottom w:val="0"/>
      <w:divBdr>
        <w:top w:val="none" w:sz="0" w:space="0" w:color="auto"/>
        <w:left w:val="none" w:sz="0" w:space="0" w:color="auto"/>
        <w:bottom w:val="none" w:sz="0" w:space="0" w:color="auto"/>
        <w:right w:val="none" w:sz="0" w:space="0" w:color="auto"/>
      </w:divBdr>
    </w:div>
    <w:div w:id="1788086026">
      <w:bodyDiv w:val="1"/>
      <w:marLeft w:val="0"/>
      <w:marRight w:val="0"/>
      <w:marTop w:val="0"/>
      <w:marBottom w:val="0"/>
      <w:divBdr>
        <w:top w:val="none" w:sz="0" w:space="0" w:color="auto"/>
        <w:left w:val="none" w:sz="0" w:space="0" w:color="auto"/>
        <w:bottom w:val="none" w:sz="0" w:space="0" w:color="auto"/>
        <w:right w:val="none" w:sz="0" w:space="0" w:color="auto"/>
      </w:divBdr>
    </w:div>
    <w:div w:id="1932615351">
      <w:bodyDiv w:val="1"/>
      <w:marLeft w:val="0"/>
      <w:marRight w:val="0"/>
      <w:marTop w:val="0"/>
      <w:marBottom w:val="0"/>
      <w:divBdr>
        <w:top w:val="none" w:sz="0" w:space="0" w:color="auto"/>
        <w:left w:val="none" w:sz="0" w:space="0" w:color="auto"/>
        <w:bottom w:val="none" w:sz="0" w:space="0" w:color="auto"/>
        <w:right w:val="none" w:sz="0" w:space="0" w:color="auto"/>
      </w:divBdr>
    </w:div>
    <w:div w:id="1977493083">
      <w:bodyDiv w:val="1"/>
      <w:marLeft w:val="0"/>
      <w:marRight w:val="0"/>
      <w:marTop w:val="0"/>
      <w:marBottom w:val="0"/>
      <w:divBdr>
        <w:top w:val="none" w:sz="0" w:space="0" w:color="auto"/>
        <w:left w:val="none" w:sz="0" w:space="0" w:color="auto"/>
        <w:bottom w:val="none" w:sz="0" w:space="0" w:color="auto"/>
        <w:right w:val="none" w:sz="0" w:space="0" w:color="auto"/>
      </w:divBdr>
    </w:div>
    <w:div w:id="2002659262">
      <w:bodyDiv w:val="1"/>
      <w:marLeft w:val="0"/>
      <w:marRight w:val="0"/>
      <w:marTop w:val="0"/>
      <w:marBottom w:val="0"/>
      <w:divBdr>
        <w:top w:val="none" w:sz="0" w:space="0" w:color="auto"/>
        <w:left w:val="none" w:sz="0" w:space="0" w:color="auto"/>
        <w:bottom w:val="none" w:sz="0" w:space="0" w:color="auto"/>
        <w:right w:val="none" w:sz="0" w:space="0" w:color="auto"/>
      </w:divBdr>
    </w:div>
    <w:div w:id="2007393904">
      <w:bodyDiv w:val="1"/>
      <w:marLeft w:val="0"/>
      <w:marRight w:val="0"/>
      <w:marTop w:val="0"/>
      <w:marBottom w:val="0"/>
      <w:divBdr>
        <w:top w:val="none" w:sz="0" w:space="0" w:color="auto"/>
        <w:left w:val="none" w:sz="0" w:space="0" w:color="auto"/>
        <w:bottom w:val="none" w:sz="0" w:space="0" w:color="auto"/>
        <w:right w:val="none" w:sz="0" w:space="0" w:color="auto"/>
      </w:divBdr>
    </w:div>
    <w:div w:id="210036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9" ma:contentTypeDescription="Create a new document." ma:contentTypeScope="" ma:versionID="b215ca9a13265f92f2c1de86bd415659">
  <xsd:schema xmlns:xsd="http://www.w3.org/2001/XMLSchema" xmlns:xs="http://www.w3.org/2001/XMLSchema" xmlns:p="http://schemas.microsoft.com/office/2006/metadata/properties" xmlns:ns1="http://schemas.microsoft.com/sharepoint/v3" xmlns:ns3="a8e734a9-52cf-49e3-bcde-90df6cef9c0a" xmlns:ns4="fc8c83e1-e4af-414a-b3b5-326eb82e57bc" targetNamespace="http://schemas.microsoft.com/office/2006/metadata/properties" ma:root="true" ma:fieldsID="c1a75dfaa8183477db97f35e46fb51d6" ns1:_="" ns3:_="" ns4:_="">
    <xsd:import namespace="http://schemas.microsoft.com/sharepoint/v3"/>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95CC7-094E-4290-B7A9-065825717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08BEE-89B5-43E3-A5DB-2F6BC0B1A148}">
  <ds:schemaRefs>
    <ds:schemaRef ds:uri="http://schemas.microsoft.com/office/2006/metadata/properties"/>
    <ds:schemaRef ds:uri="http://schemas.microsoft.com/office/infopath/2007/PartnerControls"/>
    <ds:schemaRef ds:uri="http://schemas.microsoft.com/sharepoint/v3"/>
    <ds:schemaRef ds:uri="fc8c83e1-e4af-414a-b3b5-326eb82e57bc"/>
  </ds:schemaRefs>
</ds:datastoreItem>
</file>

<file path=customXml/itemProps3.xml><?xml version="1.0" encoding="utf-8"?>
<ds:datastoreItem xmlns:ds="http://schemas.openxmlformats.org/officeDocument/2006/customXml" ds:itemID="{E550AFED-9CDF-499D-80A6-57A5682D5648}">
  <ds:schemaRefs>
    <ds:schemaRef ds:uri="http://schemas.openxmlformats.org/officeDocument/2006/bibliography"/>
  </ds:schemaRefs>
</ds:datastoreItem>
</file>

<file path=customXml/itemProps4.xml><?xml version="1.0" encoding="utf-8"?>
<ds:datastoreItem xmlns:ds="http://schemas.openxmlformats.org/officeDocument/2006/customXml" ds:itemID="{4848A0D8-B4BF-46BE-A9EF-1EE395861AB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1239</TotalTime>
  <Pages>15</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The Princess Alexandra Hospital NHS Trust</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DELLOW, David (THE PRINCESS ALEXANDRA HOSPITAL NHS TRUST)</dc:creator>
  <cp:keywords/>
  <dc:description/>
  <cp:lastModifiedBy>COLLINGS, Charlotte (THE PRINCESS ALEXANDRA HOSPITAL NHS TRUST)</cp:lastModifiedBy>
  <cp:revision>31</cp:revision>
  <cp:lastPrinted>2025-01-20T10:59:00Z</cp:lastPrinted>
  <dcterms:created xsi:type="dcterms:W3CDTF">2025-12-24T13:37:00Z</dcterms:created>
  <dcterms:modified xsi:type="dcterms:W3CDTF">2026-02-05T16:41:00Z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